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89706">
      <w:pPr>
        <w:spacing w:line="300" w:lineRule="auto"/>
        <w:jc w:val="center"/>
        <w:rPr>
          <w:rFonts w:ascii="Times New Roman" w:hAnsi="Times New Roman" w:eastAsia="黑体"/>
          <w:b/>
          <w:bCs/>
          <w:color w:val="000000"/>
          <w:w w:val="90"/>
          <w:sz w:val="44"/>
          <w:szCs w:val="44"/>
        </w:rPr>
      </w:pPr>
    </w:p>
    <w:p w14:paraId="25BF899E">
      <w:pPr>
        <w:spacing w:beforeLines="150" w:afterLines="150"/>
        <w:jc w:val="center"/>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山东济钢环保新材料有限公司</w:t>
      </w:r>
    </w:p>
    <w:p w14:paraId="3F817E12">
      <w:pPr>
        <w:spacing w:line="300" w:lineRule="auto"/>
        <w:jc w:val="center"/>
        <w:rPr>
          <w:rFonts w:ascii="方正小标宋简体" w:hAnsi="方正小标宋简体" w:eastAsia="方正小标宋简体" w:cs="方正小标宋简体"/>
          <w:b/>
          <w:bCs/>
          <w:color w:val="000000"/>
          <w:w w:val="90"/>
          <w:sz w:val="44"/>
          <w:szCs w:val="44"/>
        </w:rPr>
      </w:pPr>
      <w:r>
        <w:rPr>
          <w:rFonts w:hint="eastAsia" w:ascii="方正小标宋简体" w:hAnsi="方正小标宋简体" w:eastAsia="方正小标宋简体" w:cs="方正小标宋简体"/>
          <w:b/>
          <w:sz w:val="52"/>
          <w:szCs w:val="52"/>
        </w:rPr>
        <w:t>委托二次筛分</w:t>
      </w:r>
      <w:r>
        <w:rPr>
          <w:rFonts w:hint="eastAsia" w:ascii="方正小标宋简体" w:hAnsi="方正小标宋简体" w:eastAsia="方正小标宋简体" w:cs="方正小标宋简体"/>
          <w:b/>
          <w:sz w:val="52"/>
          <w:szCs w:val="52"/>
          <w:lang w:eastAsia="zh-CN"/>
        </w:rPr>
        <w:t>1-3</w:t>
      </w:r>
      <w:r>
        <w:rPr>
          <w:rFonts w:hint="eastAsia" w:ascii="方正小标宋简体" w:hAnsi="方正小标宋简体" w:eastAsia="方正小标宋简体" w:cs="方正小标宋简体"/>
          <w:b/>
          <w:sz w:val="52"/>
          <w:szCs w:val="52"/>
        </w:rPr>
        <w:t>石子</w:t>
      </w:r>
    </w:p>
    <w:p w14:paraId="41C9AFC0">
      <w:pPr>
        <w:spacing w:line="300" w:lineRule="auto"/>
        <w:ind w:firstLine="3182" w:firstLineChars="800"/>
        <w:rPr>
          <w:rFonts w:ascii="方正小标宋简体" w:hAnsi="方正小标宋简体" w:eastAsia="方正小标宋简体" w:cs="方正小标宋简体"/>
          <w:b/>
          <w:bCs/>
          <w:color w:val="000000"/>
          <w:w w:val="90"/>
          <w:sz w:val="44"/>
          <w:szCs w:val="44"/>
        </w:rPr>
      </w:pPr>
    </w:p>
    <w:p w14:paraId="0AA998C6">
      <w:pPr>
        <w:spacing w:line="300" w:lineRule="auto"/>
        <w:ind w:firstLine="3182" w:firstLineChars="800"/>
        <w:rPr>
          <w:rFonts w:ascii="方正小标宋简体" w:hAnsi="方正小标宋简体" w:eastAsia="方正小标宋简体" w:cs="方正小标宋简体"/>
          <w:b/>
          <w:bCs/>
          <w:color w:val="000000"/>
          <w:w w:val="90"/>
          <w:sz w:val="44"/>
          <w:szCs w:val="44"/>
        </w:rPr>
      </w:pPr>
    </w:p>
    <w:p w14:paraId="6B18C35C">
      <w:pPr>
        <w:spacing w:line="300" w:lineRule="auto"/>
        <w:ind w:firstLine="3182" w:firstLineChars="800"/>
        <w:rPr>
          <w:rFonts w:ascii="方正小标宋简体" w:hAnsi="方正小标宋简体" w:eastAsia="方正小标宋简体" w:cs="方正小标宋简体"/>
          <w:b/>
          <w:bCs/>
          <w:color w:val="000000"/>
          <w:w w:val="90"/>
          <w:sz w:val="44"/>
          <w:szCs w:val="44"/>
        </w:rPr>
      </w:pPr>
    </w:p>
    <w:p w14:paraId="25104351">
      <w:pPr>
        <w:spacing w:beforeLines="150" w:afterLines="150"/>
        <w:jc w:val="center"/>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竞争性谈判文件</w:t>
      </w:r>
    </w:p>
    <w:p w14:paraId="772E607F">
      <w:pPr>
        <w:spacing w:line="300" w:lineRule="auto"/>
        <w:jc w:val="center"/>
        <w:rPr>
          <w:rFonts w:ascii="方正小标宋简体" w:hAnsi="方正小标宋简体" w:eastAsia="方正小标宋简体" w:cs="方正小标宋简体"/>
          <w:b/>
          <w:bCs/>
          <w:color w:val="000000"/>
          <w:w w:val="90"/>
          <w:sz w:val="44"/>
          <w:szCs w:val="44"/>
        </w:rPr>
      </w:pPr>
    </w:p>
    <w:p w14:paraId="722A166E">
      <w:pPr>
        <w:spacing w:line="300" w:lineRule="auto"/>
        <w:ind w:firstLine="6401" w:firstLineChars="1449"/>
        <w:rPr>
          <w:rFonts w:ascii="方正小标宋简体" w:hAnsi="方正小标宋简体" w:eastAsia="方正小标宋简体" w:cs="方正小标宋简体"/>
          <w:b/>
          <w:color w:val="000000"/>
          <w:sz w:val="44"/>
          <w:szCs w:val="44"/>
        </w:rPr>
      </w:pPr>
    </w:p>
    <w:p w14:paraId="532E2E72">
      <w:pPr>
        <w:spacing w:line="300" w:lineRule="auto"/>
        <w:ind w:firstLine="5288" w:firstLineChars="1646"/>
        <w:rPr>
          <w:rFonts w:ascii="方正小标宋简体" w:hAnsi="方正小标宋简体" w:eastAsia="方正小标宋简体" w:cs="方正小标宋简体"/>
          <w:b/>
          <w:color w:val="000000"/>
          <w:sz w:val="32"/>
          <w:szCs w:val="32"/>
          <w:u w:val="single"/>
        </w:rPr>
      </w:pPr>
    </w:p>
    <w:p w14:paraId="2B78674C">
      <w:pPr>
        <w:tabs>
          <w:tab w:val="left" w:pos="1134"/>
          <w:tab w:val="left" w:pos="5481"/>
          <w:tab w:val="left" w:pos="5859"/>
        </w:tabs>
        <w:spacing w:line="300" w:lineRule="auto"/>
        <w:rPr>
          <w:rFonts w:ascii="方正小标宋简体" w:hAnsi="方正小标宋简体" w:eastAsia="方正小标宋简体" w:cs="方正小标宋简体"/>
          <w:b/>
          <w:color w:val="000000"/>
          <w:sz w:val="28"/>
          <w:szCs w:val="28"/>
        </w:rPr>
      </w:pPr>
    </w:p>
    <w:p w14:paraId="41FE3454">
      <w:pPr>
        <w:tabs>
          <w:tab w:val="left" w:pos="1134"/>
          <w:tab w:val="left" w:pos="5481"/>
          <w:tab w:val="left" w:pos="5859"/>
        </w:tabs>
        <w:spacing w:line="300" w:lineRule="auto"/>
        <w:rPr>
          <w:rFonts w:ascii="方正小标宋简体" w:hAnsi="方正小标宋简体" w:eastAsia="方正小标宋简体" w:cs="方正小标宋简体"/>
          <w:b/>
          <w:color w:val="000000"/>
          <w:sz w:val="28"/>
          <w:szCs w:val="28"/>
        </w:rPr>
      </w:pPr>
    </w:p>
    <w:p w14:paraId="05653603">
      <w:pPr>
        <w:spacing w:line="300" w:lineRule="auto"/>
        <w:ind w:firstLine="560" w:firstLineChars="200"/>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28"/>
          <w:szCs w:val="28"/>
        </w:rPr>
        <w:t xml:space="preserve">   </w:t>
      </w:r>
      <w:r>
        <w:rPr>
          <w:rFonts w:hint="eastAsia" w:ascii="方正小标宋简体" w:hAnsi="方正小标宋简体" w:eastAsia="方正小标宋简体" w:cs="方正小标宋简体"/>
          <w:bCs/>
          <w:color w:val="000000"/>
          <w:sz w:val="32"/>
          <w:szCs w:val="32"/>
        </w:rPr>
        <w:t xml:space="preserve">    采购人：山东济钢环保新材料有限公司 </w:t>
      </w:r>
    </w:p>
    <w:p w14:paraId="5DC11485">
      <w:pPr>
        <w:pStyle w:val="27"/>
        <w:spacing w:line="300" w:lineRule="auto"/>
        <w:jc w:val="center"/>
        <w:rPr>
          <w:rFonts w:ascii="方正小标宋简体" w:hAnsi="方正小标宋简体" w:eastAsia="方正小标宋简体" w:cs="方正小标宋简体"/>
          <w:bCs/>
          <w:color w:val="000000"/>
          <w:spacing w:val="28"/>
          <w:sz w:val="32"/>
          <w:szCs w:val="32"/>
        </w:rPr>
      </w:pPr>
      <w:r>
        <w:rPr>
          <w:rFonts w:hint="eastAsia" w:ascii="方正小标宋简体" w:hAnsi="方正小标宋简体" w:eastAsia="方正小标宋简体" w:cs="方正小标宋简体"/>
          <w:bCs/>
          <w:color w:val="000000"/>
          <w:spacing w:val="28"/>
          <w:sz w:val="32"/>
          <w:szCs w:val="32"/>
          <w:lang w:eastAsia="zh-CN"/>
        </w:rPr>
        <w:t>202</w:t>
      </w:r>
      <w:r>
        <w:rPr>
          <w:rFonts w:hint="eastAsia" w:ascii="方正小标宋简体" w:hAnsi="方正小标宋简体" w:eastAsia="方正小标宋简体" w:cs="方正小标宋简体"/>
          <w:bCs/>
          <w:color w:val="000000"/>
          <w:spacing w:val="28"/>
          <w:sz w:val="32"/>
          <w:szCs w:val="32"/>
          <w:lang w:val="en-US" w:eastAsia="zh-CN"/>
        </w:rPr>
        <w:t>5</w:t>
      </w:r>
      <w:r>
        <w:rPr>
          <w:rFonts w:hint="eastAsia" w:ascii="方正小标宋简体" w:hAnsi="方正小标宋简体" w:eastAsia="方正小标宋简体" w:cs="方正小标宋简体"/>
          <w:bCs/>
          <w:color w:val="000000"/>
          <w:spacing w:val="28"/>
          <w:sz w:val="32"/>
          <w:szCs w:val="32"/>
        </w:rPr>
        <w:t>年</w:t>
      </w:r>
      <w:r>
        <w:rPr>
          <w:rFonts w:hint="eastAsia" w:ascii="方正小标宋简体" w:hAnsi="方正小标宋简体" w:eastAsia="方正小标宋简体" w:cs="方正小标宋简体"/>
          <w:bCs/>
          <w:color w:val="000000"/>
          <w:spacing w:val="28"/>
          <w:sz w:val="32"/>
          <w:szCs w:val="32"/>
          <w:lang w:val="en-US" w:eastAsia="zh-CN"/>
        </w:rPr>
        <w:t>12</w:t>
      </w:r>
      <w:r>
        <w:rPr>
          <w:rFonts w:hint="eastAsia" w:ascii="方正小标宋简体" w:hAnsi="方正小标宋简体" w:eastAsia="方正小标宋简体" w:cs="方正小标宋简体"/>
          <w:bCs/>
          <w:color w:val="000000"/>
          <w:spacing w:val="28"/>
          <w:sz w:val="32"/>
          <w:szCs w:val="32"/>
        </w:rPr>
        <w:t>月</w:t>
      </w:r>
      <w:r>
        <w:rPr>
          <w:rFonts w:hint="eastAsia" w:ascii="方正小标宋简体" w:hAnsi="方正小标宋简体" w:eastAsia="方正小标宋简体" w:cs="方正小标宋简体"/>
          <w:bCs/>
          <w:color w:val="000000"/>
          <w:spacing w:val="28"/>
          <w:sz w:val="32"/>
          <w:szCs w:val="32"/>
          <w:lang w:val="en-US" w:eastAsia="zh-CN"/>
        </w:rPr>
        <w:t>4</w:t>
      </w:r>
      <w:r>
        <w:rPr>
          <w:rFonts w:hint="eastAsia" w:ascii="方正小标宋简体" w:hAnsi="方正小标宋简体" w:eastAsia="方正小标宋简体" w:cs="方正小标宋简体"/>
          <w:bCs/>
          <w:color w:val="000000"/>
          <w:spacing w:val="28"/>
          <w:sz w:val="32"/>
          <w:szCs w:val="32"/>
        </w:rPr>
        <w:t>日</w:t>
      </w:r>
    </w:p>
    <w:p w14:paraId="50EBFE13">
      <w:pPr>
        <w:spacing w:line="300" w:lineRule="auto"/>
        <w:rPr>
          <w:rFonts w:ascii="方正小标宋简体" w:hAnsi="方正小标宋简体" w:eastAsia="方正小标宋简体" w:cs="方正小标宋简体"/>
          <w:bCs/>
          <w:color w:val="000000"/>
          <w:sz w:val="28"/>
          <w:szCs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86F56C5">
      <w:pPr>
        <w:spacing w:line="300" w:lineRule="auto"/>
        <w:jc w:val="center"/>
        <w:rPr>
          <w:rFonts w:ascii="黑体" w:hAnsi="黑体" w:eastAsia="黑体"/>
          <w:b/>
          <w:color w:val="000000"/>
          <w:sz w:val="36"/>
          <w:szCs w:val="36"/>
        </w:rPr>
      </w:pPr>
      <w:r>
        <w:rPr>
          <w:rFonts w:hint="eastAsia" w:ascii="黑体" w:hAnsi="黑体" w:eastAsia="黑体"/>
          <w:b/>
          <w:color w:val="000000"/>
          <w:sz w:val="36"/>
          <w:szCs w:val="36"/>
        </w:rPr>
        <w:t>第一章</w:t>
      </w:r>
      <w:r>
        <w:rPr>
          <w:rFonts w:ascii="黑体" w:hAnsi="黑体" w:eastAsia="黑体"/>
          <w:b/>
          <w:color w:val="000000"/>
          <w:sz w:val="36"/>
          <w:szCs w:val="36"/>
        </w:rPr>
        <w:t xml:space="preserve"> </w:t>
      </w:r>
      <w:bookmarkStart w:id="0" w:name="_Toc446434284"/>
      <w:bookmarkEnd w:id="0"/>
      <w:r>
        <w:rPr>
          <w:rFonts w:hint="eastAsia" w:ascii="黑体" w:hAnsi="黑体" w:eastAsia="黑体"/>
          <w:b/>
          <w:color w:val="000000"/>
          <w:sz w:val="36"/>
          <w:szCs w:val="36"/>
        </w:rPr>
        <w:t xml:space="preserve">  竞争性谈判公告</w:t>
      </w:r>
    </w:p>
    <w:p w14:paraId="1A2A46CB">
      <w:pPr>
        <w:spacing w:line="360" w:lineRule="auto"/>
        <w:rPr>
          <w:rFonts w:cs="Times New Roman"/>
          <w:b/>
          <w:bCs/>
        </w:rPr>
      </w:pPr>
      <w:r>
        <w:rPr>
          <w:rFonts w:cs="Times New Roman"/>
          <w:b/>
          <w:bCs/>
        </w:rPr>
        <w:t>一、</w:t>
      </w:r>
      <w:r>
        <w:rPr>
          <w:rFonts w:hint="eastAsia" w:cs="Times New Roman"/>
          <w:b/>
          <w:bCs/>
        </w:rPr>
        <w:t>采购</w:t>
      </w:r>
      <w:r>
        <w:rPr>
          <w:rFonts w:cs="Times New Roman"/>
          <w:b/>
          <w:bCs/>
        </w:rPr>
        <w:t>编号：</w:t>
      </w:r>
      <w:r>
        <w:rPr>
          <w:rFonts w:hint="eastAsia" w:cs="Times New Roman"/>
          <w:b/>
          <w:bCs/>
        </w:rPr>
        <w:t>1173251204002</w:t>
      </w:r>
    </w:p>
    <w:p w14:paraId="1095E4F5">
      <w:pPr>
        <w:spacing w:line="360" w:lineRule="auto"/>
        <w:rPr>
          <w:color w:val="000000"/>
        </w:rPr>
      </w:pPr>
      <w:r>
        <w:rPr>
          <w:rFonts w:cs="Times New Roman"/>
          <w:b/>
          <w:bCs/>
        </w:rPr>
        <w:t>二、</w:t>
      </w:r>
      <w:r>
        <w:rPr>
          <w:rFonts w:hint="eastAsia" w:cs="Times New Roman"/>
          <w:b/>
          <w:bCs/>
        </w:rPr>
        <w:t>采购项目</w:t>
      </w:r>
      <w:r>
        <w:rPr>
          <w:rFonts w:cs="Times New Roman"/>
          <w:b/>
          <w:bCs/>
        </w:rPr>
        <w:t>名称：</w:t>
      </w:r>
      <w:r>
        <w:rPr>
          <w:rFonts w:hint="eastAsia"/>
          <w:color w:val="000000"/>
        </w:rPr>
        <w:t>委托二次筛分</w:t>
      </w:r>
      <w:r>
        <w:rPr>
          <w:rFonts w:hint="eastAsia"/>
          <w:color w:val="000000"/>
          <w:lang w:eastAsia="zh-CN"/>
        </w:rPr>
        <w:t>1-3</w:t>
      </w:r>
      <w:r>
        <w:rPr>
          <w:rFonts w:hint="eastAsia"/>
          <w:color w:val="000000"/>
        </w:rPr>
        <w:t>石子</w:t>
      </w:r>
    </w:p>
    <w:p w14:paraId="49E5B434">
      <w:pPr>
        <w:pStyle w:val="12"/>
        <w:ind w:left="0" w:leftChars="0" w:firstLine="0" w:firstLineChars="0"/>
        <w:rPr>
          <w:rFonts w:ascii="宋体" w:hAnsi="宋体"/>
          <w:b/>
          <w:bCs/>
          <w:color w:val="000000"/>
        </w:rPr>
      </w:pPr>
      <w:r>
        <w:rPr>
          <w:rFonts w:hint="eastAsia" w:ascii="宋体" w:hAnsi="宋体"/>
          <w:b/>
          <w:bCs/>
          <w:color w:val="000000"/>
        </w:rPr>
        <w:t>三、采购项目内容：</w:t>
      </w:r>
    </w:p>
    <w:p w14:paraId="5AB0D58B">
      <w:pPr>
        <w:spacing w:line="300" w:lineRule="auto"/>
        <w:ind w:left="-368" w:leftChars="-175" w:firstLine="804" w:firstLineChars="383"/>
        <w:rPr>
          <w:rFonts w:cs="Times New Roman"/>
        </w:rPr>
      </w:pPr>
      <w:r>
        <w:rPr>
          <w:rFonts w:hint="eastAsia"/>
        </w:rPr>
        <w:t>1</w:t>
      </w:r>
      <w:r>
        <w:rPr>
          <w:rFonts w:hint="eastAsia" w:cs="Times New Roman"/>
        </w:rPr>
        <w:t>、</w:t>
      </w:r>
      <w:r>
        <w:rPr>
          <w:rFonts w:hint="eastAsia" w:cs="Times New Roman"/>
          <w:lang w:val="en-US" w:eastAsia="zh-CN"/>
        </w:rPr>
        <w:t>供应商</w:t>
      </w:r>
      <w:r>
        <w:rPr>
          <w:rFonts w:hint="eastAsia" w:cs="Times New Roman"/>
        </w:rPr>
        <w:t>拥有并自行安装筛分</w:t>
      </w:r>
      <w:r>
        <w:rPr>
          <w:rFonts w:hint="eastAsia" w:cs="Times New Roman"/>
          <w:lang w:eastAsia="zh-CN"/>
        </w:rPr>
        <w:t>1-3</w:t>
      </w:r>
      <w:r>
        <w:rPr>
          <w:rFonts w:hint="eastAsia" w:cs="Times New Roman"/>
        </w:rPr>
        <w:t>石子的设备，筛分后的成品含粉率≤0.5%。。</w:t>
      </w:r>
    </w:p>
    <w:p w14:paraId="7DC81B67">
      <w:pPr>
        <w:spacing w:line="300" w:lineRule="auto"/>
        <w:ind w:left="-368" w:leftChars="-175" w:firstLine="804" w:firstLineChars="383"/>
        <w:rPr>
          <w:rFonts w:hint="eastAsia" w:cs="Times New Roman"/>
        </w:rPr>
      </w:pPr>
      <w:r>
        <w:rPr>
          <w:rFonts w:hint="eastAsia" w:cs="Times New Roman"/>
        </w:rPr>
        <w:t>2、</w:t>
      </w:r>
      <w:r>
        <w:rPr>
          <w:rFonts w:hint="eastAsia" w:cs="Times New Roman"/>
          <w:lang w:val="en-US" w:eastAsia="zh-CN"/>
        </w:rPr>
        <w:t>供应商</w:t>
      </w:r>
      <w:r>
        <w:rPr>
          <w:rFonts w:hint="eastAsia" w:cs="Times New Roman"/>
        </w:rPr>
        <w:t>承担完成</w:t>
      </w:r>
      <w:r>
        <w:rPr>
          <w:rFonts w:hint="eastAsia" w:cs="Times New Roman"/>
          <w:lang w:val="en-US" w:eastAsia="zh-CN"/>
        </w:rPr>
        <w:t>采购人</w:t>
      </w:r>
      <w:r>
        <w:rPr>
          <w:rFonts w:hint="eastAsia" w:cs="Times New Roman"/>
        </w:rPr>
        <w:t>要求任务的维修、人工工资等费用。</w:t>
      </w:r>
    </w:p>
    <w:p w14:paraId="56D0084A">
      <w:pPr>
        <w:spacing w:line="300" w:lineRule="auto"/>
        <w:ind w:left="-368" w:leftChars="-175" w:firstLine="804" w:firstLineChars="383"/>
        <w:rPr>
          <w:rFonts w:hint="eastAsia" w:cs="Times New Roman"/>
        </w:rPr>
      </w:pPr>
      <w:r>
        <w:rPr>
          <w:rFonts w:hint="eastAsia" w:cs="Times New Roman"/>
          <w:lang w:val="en-US" w:eastAsia="zh-CN"/>
        </w:rPr>
        <w:t>3、供应商</w:t>
      </w:r>
      <w:r>
        <w:rPr>
          <w:rFonts w:hint="eastAsia" w:cs="Times New Roman"/>
        </w:rPr>
        <w:t>具备24小时连续生产的能力，每天产能不小于7000吨</w:t>
      </w:r>
    </w:p>
    <w:p w14:paraId="55AA2E8F">
      <w:pPr>
        <w:spacing w:line="300" w:lineRule="auto"/>
        <w:ind w:left="-368" w:leftChars="-175" w:firstLine="804" w:firstLineChars="383"/>
        <w:rPr>
          <w:rFonts w:hint="eastAsia" w:cs="Times New Roman"/>
          <w:lang w:val="en-US" w:eastAsia="zh-CN"/>
        </w:rPr>
      </w:pPr>
      <w:r>
        <w:rPr>
          <w:rFonts w:hint="eastAsia" w:cs="Times New Roman"/>
          <w:lang w:val="en-US" w:eastAsia="zh-CN"/>
        </w:rPr>
        <w:t>4、供应商中标后三天内完成设备安装、调试，具备生产能力</w:t>
      </w:r>
    </w:p>
    <w:p w14:paraId="4DE4B323">
      <w:pPr>
        <w:spacing w:line="300" w:lineRule="auto"/>
        <w:ind w:left="-368" w:leftChars="-175" w:firstLine="804" w:firstLineChars="383"/>
        <w:rPr>
          <w:rFonts w:hint="default" w:cs="Times New Roman"/>
          <w:lang w:val="en-US" w:eastAsia="zh-CN"/>
        </w:rPr>
      </w:pPr>
      <w:r>
        <w:rPr>
          <w:rFonts w:hint="eastAsia" w:cs="Times New Roman"/>
          <w:lang w:val="en-US" w:eastAsia="zh-CN"/>
        </w:rPr>
        <w:t>5、</w:t>
      </w:r>
      <w:r>
        <w:rPr>
          <w:rFonts w:hint="eastAsia" w:cs="Times New Roman"/>
        </w:rPr>
        <w:t>具备生态环境局规定的必要的喷林抑尘设备</w:t>
      </w:r>
    </w:p>
    <w:p w14:paraId="6C1CBCA8">
      <w:pPr>
        <w:spacing w:line="300" w:lineRule="auto"/>
        <w:ind w:left="-368" w:leftChars="-175" w:firstLine="804" w:firstLineChars="383"/>
        <w:rPr>
          <w:rFonts w:hint="eastAsia" w:cs="Times New Roman"/>
        </w:rPr>
      </w:pPr>
      <w:r>
        <w:rPr>
          <w:rFonts w:hint="eastAsia" w:cs="Times New Roman"/>
          <w:lang w:val="en-US" w:eastAsia="zh-CN"/>
        </w:rPr>
        <w:t>6</w:t>
      </w:r>
      <w:r>
        <w:rPr>
          <w:rFonts w:hint="eastAsia" w:cs="Times New Roman"/>
        </w:rPr>
        <w:t>、</w:t>
      </w:r>
      <w:r>
        <w:rPr>
          <w:rFonts w:hint="eastAsia" w:cs="Times New Roman"/>
          <w:lang w:val="en-US" w:eastAsia="zh-CN"/>
        </w:rPr>
        <w:t>供应商</w:t>
      </w:r>
      <w:r>
        <w:rPr>
          <w:rFonts w:hint="eastAsia" w:cs="Times New Roman"/>
        </w:rPr>
        <w:t>具有项目实施的经历和经验，在合同期限</w:t>
      </w:r>
      <w:r>
        <w:rPr>
          <w:rFonts w:hint="eastAsia" w:cs="Times New Roman"/>
          <w:lang w:val="en-US" w:eastAsia="zh-CN"/>
        </w:rPr>
        <w:t>4</w:t>
      </w:r>
      <w:r>
        <w:rPr>
          <w:rFonts w:hint="eastAsia" w:cs="Times New Roman"/>
        </w:rPr>
        <w:t>个月内完成</w:t>
      </w:r>
      <w:r>
        <w:rPr>
          <w:rFonts w:hint="eastAsia" w:cs="Times New Roman"/>
          <w:lang w:val="en-US" w:eastAsia="zh-CN"/>
        </w:rPr>
        <w:t>采购人</w:t>
      </w:r>
      <w:r>
        <w:rPr>
          <w:rFonts w:hint="eastAsia" w:cs="Times New Roman"/>
        </w:rPr>
        <w:t>指定的筛分量</w:t>
      </w:r>
      <w:r>
        <w:rPr>
          <w:rFonts w:hint="eastAsia" w:cs="Times New Roman"/>
          <w:lang w:val="en-US" w:eastAsia="zh-CN"/>
        </w:rPr>
        <w:t>26.5</w:t>
      </w:r>
      <w:r>
        <w:rPr>
          <w:rFonts w:hint="eastAsia" w:cs="Times New Roman"/>
        </w:rPr>
        <w:t>万吨。</w:t>
      </w:r>
    </w:p>
    <w:p w14:paraId="46E53FB5">
      <w:pPr>
        <w:tabs>
          <w:tab w:val="left" w:pos="2880"/>
        </w:tabs>
        <w:spacing w:line="300" w:lineRule="auto"/>
        <w:rPr>
          <w:rFonts w:cs="Times New Roman"/>
          <w:b/>
          <w:bCs/>
        </w:rPr>
      </w:pPr>
      <w:r>
        <w:rPr>
          <w:rFonts w:cs="Times New Roman"/>
          <w:b/>
          <w:bCs/>
        </w:rPr>
        <w:t>四、</w:t>
      </w:r>
      <w:r>
        <w:rPr>
          <w:rFonts w:hint="eastAsia" w:cs="Times New Roman"/>
          <w:b/>
          <w:bCs/>
        </w:rPr>
        <w:t>投标人</w:t>
      </w:r>
      <w:r>
        <w:rPr>
          <w:rFonts w:cs="Times New Roman"/>
          <w:b/>
          <w:bCs/>
        </w:rPr>
        <w:t>资格要求</w:t>
      </w:r>
    </w:p>
    <w:p w14:paraId="52380739">
      <w:pPr>
        <w:spacing w:line="300" w:lineRule="auto"/>
        <w:ind w:left="-368" w:leftChars="-175" w:firstLine="804" w:firstLineChars="383"/>
        <w:rPr>
          <w:color w:val="000000"/>
        </w:rPr>
      </w:pPr>
      <w:r>
        <w:rPr>
          <w:rFonts w:cs="Times New Roman"/>
        </w:rPr>
        <w:t>1</w:t>
      </w:r>
      <w:r>
        <w:rPr>
          <w:rFonts w:hint="eastAsia" w:cs="Times New Roman"/>
        </w:rPr>
        <w:t>、</w:t>
      </w:r>
      <w:r>
        <w:rPr>
          <w:rFonts w:hint="eastAsia"/>
          <w:color w:val="000000"/>
          <w:lang w:val="en-US" w:eastAsia="zh-CN"/>
        </w:rPr>
        <w:t>供应商</w:t>
      </w:r>
      <w:r>
        <w:rPr>
          <w:rFonts w:hint="eastAsia"/>
          <w:color w:val="000000"/>
        </w:rPr>
        <w:t>为依法登记注册的独立法人，具有独立承担民事责任的能力。</w:t>
      </w:r>
    </w:p>
    <w:p w14:paraId="1252734F">
      <w:pPr>
        <w:spacing w:line="300" w:lineRule="auto"/>
        <w:ind w:left="263" w:leftChars="125" w:firstLine="180" w:firstLineChars="86"/>
        <w:rPr>
          <w:color w:val="000000"/>
        </w:rPr>
      </w:pPr>
      <w:r>
        <w:rPr>
          <w:rFonts w:hint="eastAsia"/>
          <w:color w:val="000000"/>
        </w:rPr>
        <w:t>2、具有相应的资质，设备符合要求。</w:t>
      </w:r>
    </w:p>
    <w:p w14:paraId="50970DCE">
      <w:pPr>
        <w:spacing w:line="300" w:lineRule="auto"/>
        <w:ind w:left="263" w:leftChars="125" w:firstLine="180" w:firstLineChars="86"/>
        <w:rPr>
          <w:color w:val="000000"/>
        </w:rPr>
      </w:pPr>
      <w:r>
        <w:rPr>
          <w:rFonts w:hint="eastAsia"/>
          <w:color w:val="000000"/>
        </w:rPr>
        <w:t>3、近三年内未发生过重大安全质量事故。</w:t>
      </w:r>
    </w:p>
    <w:p w14:paraId="750F0F6F">
      <w:pPr>
        <w:spacing w:line="300" w:lineRule="auto"/>
        <w:ind w:left="263" w:leftChars="125" w:firstLine="180" w:firstLineChars="86"/>
        <w:rPr>
          <w:color w:val="000000"/>
        </w:rPr>
      </w:pPr>
      <w:r>
        <w:rPr>
          <w:rFonts w:hint="eastAsia"/>
          <w:color w:val="000000"/>
        </w:rPr>
        <w:t>4、具有良好的企业信誉和健全的财务会计制度，提供财务报表或者财务审计报告，可以通过扫描防伪二维码在注册会计师行业统一监管平台查询(http://acc.mof.gov.cn)；</w:t>
      </w:r>
    </w:p>
    <w:p w14:paraId="2F9DD45C">
      <w:pPr>
        <w:spacing w:line="360" w:lineRule="auto"/>
        <w:ind w:firstLine="420" w:firstLineChars="200"/>
        <w:rPr>
          <w:rFonts w:cs="Times New Roman"/>
        </w:rPr>
      </w:pPr>
      <w:r>
        <w:rPr>
          <w:rFonts w:hint="eastAsia" w:cs="Times New Roman"/>
        </w:rPr>
        <w:t>5</w:t>
      </w:r>
      <w:r>
        <w:rPr>
          <w:rFonts w:cs="Times New Roman"/>
        </w:rPr>
        <w:t>、具有履行合同必需的设备、专业技术、资质能力；</w:t>
      </w:r>
    </w:p>
    <w:p w14:paraId="4E39ADCA">
      <w:pPr>
        <w:spacing w:line="360" w:lineRule="auto"/>
        <w:ind w:firstLine="420" w:firstLineChars="200"/>
        <w:rPr>
          <w:rFonts w:hint="default" w:cs="Times New Roman" w:eastAsiaTheme="minorEastAsia"/>
          <w:lang w:val="en-US" w:eastAsia="zh-CN"/>
        </w:rPr>
      </w:pPr>
      <w:r>
        <w:rPr>
          <w:rFonts w:hint="eastAsia" w:cs="Times New Roman"/>
          <w:lang w:val="en-US" w:eastAsia="zh-CN"/>
        </w:rPr>
        <w:t>6、承揽人接到中标通知之日起，3天内完成设备安装、调试，否则给定作方造成的损失由定作方承担。</w:t>
      </w:r>
    </w:p>
    <w:p w14:paraId="62147D69">
      <w:pPr>
        <w:spacing w:line="360" w:lineRule="auto"/>
        <w:ind w:firstLine="420" w:firstLineChars="200"/>
      </w:pPr>
      <w:r>
        <w:rPr>
          <w:rFonts w:hint="eastAsia"/>
        </w:rPr>
        <w:t>7、投标人须遵守中华人民共和国有关法律、法规，无重大违法违约行为。“通过“信用中国”网站（www.creditchina.gov.cn）、中国政府招标网（www.ccgp.gov.cn）查询，未被列入失信被执行人、重大税收违法案件当事人、政府招标严重违法失信行为记录名单”，提供查询截屏。</w:t>
      </w:r>
    </w:p>
    <w:p w14:paraId="75CBBA5A">
      <w:pPr>
        <w:spacing w:line="360" w:lineRule="auto"/>
        <w:ind w:firstLine="420" w:firstLineChars="200"/>
        <w:rPr>
          <w:rFonts w:cs="Times New Roman"/>
        </w:rPr>
      </w:pPr>
      <w:r>
        <w:rPr>
          <w:rFonts w:cs="Times New Roman"/>
        </w:rPr>
        <w:t>8、如有单位资料造假，一经发现，立即在网上公示，并永久取消</w:t>
      </w:r>
      <w:r>
        <w:rPr>
          <w:rFonts w:hint="eastAsia" w:cs="Times New Roman"/>
        </w:rPr>
        <w:t>投标</w:t>
      </w:r>
      <w:r>
        <w:rPr>
          <w:rFonts w:cs="Times New Roman"/>
        </w:rPr>
        <w:t>资格。</w:t>
      </w:r>
    </w:p>
    <w:p w14:paraId="59912EA3">
      <w:pPr>
        <w:spacing w:line="360" w:lineRule="auto"/>
        <w:ind w:firstLine="420" w:firstLineChars="200"/>
        <w:rPr>
          <w:rFonts w:cs="Times New Roman"/>
        </w:rPr>
      </w:pPr>
      <w:r>
        <w:rPr>
          <w:rFonts w:hint="eastAsia" w:cs="Times New Roman"/>
          <w:lang w:val="en-US" w:eastAsia="zh-CN"/>
        </w:rPr>
        <w:t>9</w:t>
      </w:r>
      <w:r>
        <w:rPr>
          <w:rFonts w:cs="Times New Roman"/>
        </w:rPr>
        <w:t>、有依法缴纳税收和社会保障金的良好纪录；</w:t>
      </w:r>
    </w:p>
    <w:p w14:paraId="319E1A32">
      <w:pPr>
        <w:spacing w:line="360" w:lineRule="auto"/>
        <w:ind w:firstLine="422" w:firstLineChars="200"/>
        <w:rPr>
          <w:b/>
          <w:bCs/>
        </w:rPr>
      </w:pPr>
      <w:r>
        <w:rPr>
          <w:rFonts w:hint="eastAsia" w:cs="Times New Roman"/>
          <w:b/>
          <w:bCs/>
        </w:rPr>
        <w:t>五、</w:t>
      </w:r>
      <w:r>
        <w:rPr>
          <w:rFonts w:hint="eastAsia"/>
          <w:b/>
          <w:bCs/>
        </w:rPr>
        <w:t>公告和报名</w:t>
      </w:r>
    </w:p>
    <w:p w14:paraId="0EA2BA1B">
      <w:pPr>
        <w:spacing w:line="360" w:lineRule="auto"/>
        <w:ind w:firstLine="420" w:firstLineChars="200"/>
      </w:pPr>
      <w:r>
        <w:rPr>
          <w:rFonts w:hint="eastAsia"/>
        </w:rPr>
        <w:t>1、报名方式：通过登录济钢集团有限公司阳光购销平台网上报名，平台网址：</w:t>
      </w:r>
      <w:r>
        <w:fldChar w:fldCharType="begin"/>
      </w:r>
      <w:r>
        <w:instrText xml:space="preserve"> HYPERLINK "http://bidding.jigang.com.cn" </w:instrText>
      </w:r>
      <w:r>
        <w:fldChar w:fldCharType="separate"/>
      </w:r>
      <w:r>
        <w:rPr>
          <w:rFonts w:hint="eastAsia"/>
        </w:rPr>
        <w:t>http://bidding.jigang.com.cn</w:t>
      </w:r>
      <w:r>
        <w:rPr>
          <w:rFonts w:hint="eastAsia"/>
        </w:rPr>
        <w:fldChar w:fldCharType="end"/>
      </w:r>
      <w:r>
        <w:rPr>
          <w:rFonts w:hint="eastAsia"/>
        </w:rPr>
        <w:t xml:space="preserve">/； </w:t>
      </w:r>
    </w:p>
    <w:p w14:paraId="0E17F19C">
      <w:pPr>
        <w:spacing w:line="360" w:lineRule="auto"/>
        <w:ind w:firstLine="420" w:firstLineChars="200"/>
      </w:pPr>
      <w:r>
        <w:rPr>
          <w:rFonts w:hint="eastAsia"/>
        </w:rPr>
        <w:t>2、公告和报名时间：</w:t>
      </w:r>
      <w:r>
        <w:rPr>
          <w:rFonts w:hint="eastAsia"/>
          <w:lang w:eastAsia="zh-CN"/>
        </w:rPr>
        <w:t>2025</w:t>
      </w:r>
      <w:r>
        <w:rPr>
          <w:rFonts w:hint="eastAsia"/>
        </w:rPr>
        <w:t>年</w:t>
      </w:r>
      <w:r>
        <w:rPr>
          <w:rFonts w:hint="eastAsia"/>
          <w:lang w:val="en-US" w:eastAsia="zh-CN"/>
        </w:rPr>
        <w:t>12</w:t>
      </w:r>
      <w:r>
        <w:rPr>
          <w:rFonts w:hint="eastAsia"/>
        </w:rPr>
        <w:t>月</w:t>
      </w:r>
      <w:r>
        <w:rPr>
          <w:rFonts w:hint="eastAsia"/>
          <w:lang w:val="en-US" w:eastAsia="zh-CN"/>
        </w:rPr>
        <w:t>4</w:t>
      </w:r>
      <w:r>
        <w:rPr>
          <w:rFonts w:hint="eastAsia"/>
        </w:rPr>
        <w:t>日～</w:t>
      </w:r>
      <w:r>
        <w:rPr>
          <w:rFonts w:hint="eastAsia"/>
          <w:lang w:eastAsia="zh-CN"/>
        </w:rPr>
        <w:t>2025</w:t>
      </w:r>
      <w:r>
        <w:rPr>
          <w:rFonts w:hint="eastAsia"/>
        </w:rPr>
        <w:t>年</w:t>
      </w:r>
      <w:r>
        <w:rPr>
          <w:rFonts w:hint="eastAsia"/>
          <w:lang w:val="en-US" w:eastAsia="zh-CN"/>
        </w:rPr>
        <w:t>12</w:t>
      </w:r>
      <w:r>
        <w:rPr>
          <w:rFonts w:hint="eastAsia"/>
        </w:rPr>
        <w:t>月</w:t>
      </w:r>
      <w:r>
        <w:rPr>
          <w:rFonts w:hint="eastAsia"/>
          <w:lang w:val="en-US" w:eastAsia="zh-CN"/>
        </w:rPr>
        <w:t>7</w:t>
      </w:r>
      <w:r>
        <w:rPr>
          <w:rFonts w:hint="eastAsia"/>
        </w:rPr>
        <w:t>日（北京时间）。</w:t>
      </w:r>
    </w:p>
    <w:p w14:paraId="550E1105">
      <w:pPr>
        <w:spacing w:line="360" w:lineRule="auto"/>
        <w:rPr>
          <w:rFonts w:cs="Times New Roman"/>
          <w:b/>
          <w:bCs/>
        </w:rPr>
      </w:pPr>
      <w:r>
        <w:rPr>
          <w:rFonts w:hint="eastAsia" w:cs="Times New Roman"/>
          <w:b/>
          <w:bCs/>
        </w:rPr>
        <w:t>六</w:t>
      </w:r>
      <w:r>
        <w:rPr>
          <w:rFonts w:cs="Times New Roman"/>
          <w:b/>
          <w:bCs/>
        </w:rPr>
        <w:t>、</w:t>
      </w:r>
      <w:r>
        <w:rPr>
          <w:rFonts w:hint="eastAsia" w:cs="Times New Roman"/>
          <w:b/>
          <w:bCs/>
        </w:rPr>
        <w:t>谈判时间和方式</w:t>
      </w:r>
    </w:p>
    <w:p w14:paraId="28A6BC86">
      <w:pPr>
        <w:spacing w:line="360" w:lineRule="auto"/>
        <w:ind w:firstLine="420" w:firstLineChars="200"/>
        <w:rPr>
          <w:rFonts w:cs="Times New Roman"/>
        </w:rPr>
      </w:pPr>
      <w:r>
        <w:rPr>
          <w:rFonts w:cs="Times New Roman"/>
        </w:rPr>
        <w:t>1、</w:t>
      </w:r>
      <w:r>
        <w:rPr>
          <w:rFonts w:hint="eastAsia" w:cs="Times New Roman"/>
        </w:rPr>
        <w:t>谈判</w:t>
      </w:r>
      <w:r>
        <w:rPr>
          <w:rFonts w:cs="Times New Roman"/>
        </w:rPr>
        <w:t>时间：</w:t>
      </w:r>
      <w:r>
        <w:rPr>
          <w:rFonts w:hint="eastAsia" w:cs="Times New Roman"/>
          <w:lang w:eastAsia="zh-CN"/>
        </w:rPr>
        <w:t>2025</w:t>
      </w:r>
      <w:r>
        <w:rPr>
          <w:rFonts w:hint="eastAsia" w:cs="Times New Roman"/>
        </w:rPr>
        <w:t>年</w:t>
      </w:r>
      <w:r>
        <w:rPr>
          <w:rFonts w:hint="eastAsia" w:cs="Times New Roman"/>
          <w:lang w:val="en-US" w:eastAsia="zh-CN"/>
        </w:rPr>
        <w:t>12</w:t>
      </w:r>
      <w:r>
        <w:rPr>
          <w:rFonts w:hint="eastAsia" w:cs="Times New Roman"/>
        </w:rPr>
        <w:t>月</w:t>
      </w:r>
      <w:r>
        <w:rPr>
          <w:rFonts w:hint="eastAsia" w:cs="Times New Roman"/>
          <w:lang w:val="en-US" w:eastAsia="zh-CN"/>
        </w:rPr>
        <w:t>10</w:t>
      </w:r>
      <w:r>
        <w:rPr>
          <w:rFonts w:hint="eastAsia" w:cs="Times New Roman"/>
        </w:rPr>
        <w:t>日</w:t>
      </w:r>
      <w:r>
        <w:rPr>
          <w:rFonts w:hint="eastAsia" w:cs="Times New Roman"/>
          <w:lang w:val="en-US" w:eastAsia="zh-CN"/>
        </w:rPr>
        <w:t>下午14</w:t>
      </w:r>
      <w:r>
        <w:rPr>
          <w:rFonts w:hint="eastAsia" w:cs="Times New Roman"/>
        </w:rPr>
        <w:t>点</w:t>
      </w:r>
      <w:r>
        <w:rPr>
          <w:rFonts w:cs="Times New Roman"/>
        </w:rPr>
        <w:t>；</w:t>
      </w:r>
    </w:p>
    <w:p w14:paraId="4B85185C">
      <w:pPr>
        <w:spacing w:line="360" w:lineRule="auto"/>
        <w:ind w:firstLine="420" w:firstLineChars="200"/>
        <w:rPr>
          <w:rFonts w:ascii="Times New Roman" w:hAnsi="Times New Roman"/>
          <w:color w:val="000000"/>
        </w:rPr>
      </w:pPr>
      <w:r>
        <w:rPr>
          <w:rFonts w:cs="Times New Roman"/>
        </w:rPr>
        <w:t>2、</w:t>
      </w:r>
      <w:r>
        <w:rPr>
          <w:rFonts w:hint="eastAsia"/>
        </w:rPr>
        <w:t>谈判方式：</w:t>
      </w:r>
      <w:r>
        <w:rPr>
          <w:rFonts w:ascii="Times New Roman" w:hAnsi="Times New Roman"/>
          <w:color w:val="000000"/>
        </w:rPr>
        <w:t>网上</w:t>
      </w:r>
      <w:r>
        <w:rPr>
          <w:rFonts w:hint="eastAsia" w:ascii="Times New Roman" w:hAnsi="Times New Roman"/>
          <w:color w:val="000000"/>
        </w:rPr>
        <w:t>谈判</w:t>
      </w:r>
      <w:r>
        <w:rPr>
          <w:rFonts w:ascii="Times New Roman" w:hAnsi="Times New Roman"/>
          <w:color w:val="000000"/>
        </w:rPr>
        <w:t>，</w:t>
      </w:r>
      <w:r>
        <w:rPr>
          <w:rFonts w:hint="eastAsia" w:ascii="Times New Roman" w:hAnsi="Times New Roman"/>
          <w:color w:val="000000"/>
        </w:rPr>
        <w:t>谈判</w:t>
      </w:r>
      <w:r>
        <w:rPr>
          <w:rFonts w:ascii="Times New Roman" w:hAnsi="Times New Roman"/>
          <w:color w:val="000000"/>
        </w:rPr>
        <w:t>时无需</w:t>
      </w:r>
      <w:r>
        <w:rPr>
          <w:rFonts w:hint="eastAsia" w:ascii="Times New Roman" w:hAnsi="Times New Roman"/>
          <w:color w:val="000000"/>
        </w:rPr>
        <w:t>供应商</w:t>
      </w:r>
      <w:r>
        <w:rPr>
          <w:rFonts w:ascii="Times New Roman" w:hAnsi="Times New Roman"/>
          <w:color w:val="000000"/>
        </w:rPr>
        <w:t>到达现场。</w:t>
      </w:r>
    </w:p>
    <w:p w14:paraId="405B8B60">
      <w:pPr>
        <w:spacing w:line="360" w:lineRule="auto"/>
        <w:rPr>
          <w:rFonts w:cs="Times New Roman"/>
        </w:rPr>
      </w:pPr>
      <w:r>
        <w:rPr>
          <w:rFonts w:hint="eastAsia" w:cs="Times New Roman"/>
          <w:b/>
          <w:bCs/>
        </w:rPr>
        <w:t>七</w:t>
      </w:r>
      <w:r>
        <w:rPr>
          <w:rFonts w:cs="Times New Roman"/>
          <w:b/>
          <w:bCs/>
        </w:rPr>
        <w:t>、</w:t>
      </w:r>
      <w:r>
        <w:rPr>
          <w:rFonts w:hint="eastAsia" w:cs="Times New Roman"/>
          <w:b/>
          <w:bCs/>
        </w:rPr>
        <w:t>谈判</w:t>
      </w:r>
      <w:r>
        <w:rPr>
          <w:rFonts w:cs="Times New Roman"/>
          <w:b/>
          <w:bCs/>
        </w:rPr>
        <w:t>保证金：</w:t>
      </w:r>
      <w:r>
        <w:rPr>
          <w:rFonts w:hint="eastAsia" w:cs="Times New Roman"/>
          <w:b/>
          <w:bCs/>
        </w:rPr>
        <w:t>无</w:t>
      </w:r>
    </w:p>
    <w:p w14:paraId="1E83F51F">
      <w:pPr>
        <w:spacing w:line="360" w:lineRule="auto"/>
        <w:rPr>
          <w:b/>
          <w:bCs/>
        </w:rPr>
      </w:pPr>
      <w:r>
        <w:rPr>
          <w:rFonts w:hint="eastAsia"/>
          <w:b/>
          <w:bCs/>
        </w:rPr>
        <w:t>八、谈判文件的获取方式</w:t>
      </w:r>
    </w:p>
    <w:p w14:paraId="65541434">
      <w:pPr>
        <w:spacing w:line="360" w:lineRule="auto"/>
        <w:ind w:firstLine="420" w:firstLineChars="200"/>
      </w:pPr>
      <w:r>
        <w:rPr>
          <w:rFonts w:hint="eastAsia"/>
        </w:rPr>
        <w:t>1、获取方式：凡有意参加的潜在供应商，在公告期内登陆：济钢集团有限公司阳光购销平台</w:t>
      </w:r>
      <w:r>
        <w:fldChar w:fldCharType="begin"/>
      </w:r>
      <w:r>
        <w:instrText xml:space="preserve"> HYPERLINK "http://bidding.jigang.com.cn" </w:instrText>
      </w:r>
      <w:r>
        <w:fldChar w:fldCharType="separate"/>
      </w:r>
      <w:r>
        <w:rPr>
          <w:rFonts w:hint="eastAsia"/>
        </w:rPr>
        <w:t>http://bidding.jigang.com.cn</w:t>
      </w:r>
      <w:r>
        <w:rPr>
          <w:rFonts w:hint="eastAsia"/>
        </w:rPr>
        <w:fldChar w:fldCharType="end"/>
      </w:r>
      <w:r>
        <w:rPr>
          <w:rFonts w:hint="eastAsia"/>
        </w:rPr>
        <w:t>/ ，注册用户成功后，须修改初始密码，重新登录后报名，报名成功后即可下载谈判文件</w:t>
      </w:r>
      <w:r>
        <w:t xml:space="preserve">； </w:t>
      </w:r>
    </w:p>
    <w:p w14:paraId="250952C2">
      <w:pPr>
        <w:spacing w:line="360" w:lineRule="auto"/>
        <w:ind w:firstLine="420" w:firstLineChars="200"/>
      </w:pPr>
      <w:r>
        <w:t>2、售价：报名时自动提示</w:t>
      </w:r>
      <w:r>
        <w:rPr>
          <w:rFonts w:hint="eastAsia"/>
        </w:rPr>
        <w:t>，随谈判</w:t>
      </w:r>
      <w:r>
        <w:t>保证金一同转账</w:t>
      </w:r>
      <w:r>
        <w:rPr>
          <w:rFonts w:hint="eastAsia"/>
        </w:rPr>
        <w:t>，售后不退。</w:t>
      </w:r>
    </w:p>
    <w:p w14:paraId="3690100B">
      <w:pPr>
        <w:spacing w:line="360" w:lineRule="auto"/>
        <w:rPr>
          <w:b/>
          <w:bCs/>
        </w:rPr>
      </w:pPr>
      <w:r>
        <w:rPr>
          <w:rFonts w:hint="eastAsia"/>
          <w:b/>
          <w:bCs/>
        </w:rPr>
        <w:t>九、资格审查</w:t>
      </w:r>
    </w:p>
    <w:p w14:paraId="6786F128">
      <w:pPr>
        <w:spacing w:line="360" w:lineRule="auto"/>
        <w:ind w:firstLine="420" w:firstLineChars="200"/>
      </w:pPr>
      <w:r>
        <w:rPr>
          <w:rFonts w:hint="eastAsia"/>
        </w:rPr>
        <w:t>资格后审，不接受联合体。</w:t>
      </w:r>
    </w:p>
    <w:p w14:paraId="176F9236">
      <w:pPr>
        <w:spacing w:line="360" w:lineRule="auto"/>
        <w:rPr>
          <w:b/>
          <w:bCs/>
        </w:rPr>
      </w:pPr>
      <w:r>
        <w:rPr>
          <w:rFonts w:hint="eastAsia"/>
          <w:b/>
          <w:bCs/>
        </w:rPr>
        <w:t>十、采购人的名称、地址和联系人</w:t>
      </w:r>
    </w:p>
    <w:p w14:paraId="628ACAF5">
      <w:pPr>
        <w:spacing w:line="360" w:lineRule="auto"/>
        <w:ind w:firstLine="420" w:firstLineChars="200"/>
        <w:rPr>
          <w:rFonts w:cs="Times New Roman"/>
        </w:rPr>
      </w:pPr>
      <w:r>
        <w:rPr>
          <w:rFonts w:hint="eastAsia"/>
        </w:rPr>
        <w:t>1、采购人的名称：</w:t>
      </w:r>
      <w:r>
        <w:rPr>
          <w:rFonts w:hint="eastAsia" w:cs="Times New Roman"/>
        </w:rPr>
        <w:t>山东济钢</w:t>
      </w:r>
      <w:r>
        <w:rPr>
          <w:rFonts w:cs="Times New Roman"/>
        </w:rPr>
        <w:t>环保新材料有限公司</w:t>
      </w:r>
    </w:p>
    <w:p w14:paraId="58EAC0A4">
      <w:pPr>
        <w:pStyle w:val="12"/>
        <w:spacing w:after="0" w:line="360" w:lineRule="auto"/>
        <w:ind w:left="0" w:leftChars="0" w:firstLine="480"/>
      </w:pPr>
      <w:r>
        <w:rPr>
          <w:rFonts w:hint="eastAsia"/>
        </w:rPr>
        <w:t>2、采购人的地址：山东省济南市章丘区官庄街道青野村东</w:t>
      </w:r>
    </w:p>
    <w:p w14:paraId="1A8A9B02">
      <w:pPr>
        <w:spacing w:line="360" w:lineRule="auto"/>
        <w:ind w:firstLine="420" w:firstLineChars="200"/>
      </w:pPr>
      <w:r>
        <w:rPr>
          <w:rFonts w:hint="eastAsia"/>
        </w:rPr>
        <w:t>3</w:t>
      </w:r>
      <w:r>
        <w:t>、</w:t>
      </w:r>
      <w:r>
        <w:rPr>
          <w:rFonts w:hint="eastAsia"/>
        </w:rPr>
        <w:t>谈判</w:t>
      </w:r>
      <w:r>
        <w:t>联系人：</w:t>
      </w:r>
      <w:r>
        <w:rPr>
          <w:rFonts w:hint="eastAsia"/>
        </w:rPr>
        <w:t>史工</w:t>
      </w:r>
      <w:r>
        <w:t>，联系电话：18615514537</w:t>
      </w:r>
    </w:p>
    <w:p w14:paraId="20543A81">
      <w:pPr>
        <w:spacing w:line="360" w:lineRule="auto"/>
        <w:ind w:firstLine="420" w:firstLineChars="200"/>
      </w:pPr>
      <w:r>
        <w:rPr>
          <w:rFonts w:hint="eastAsia"/>
        </w:rPr>
        <w:t>4</w:t>
      </w:r>
      <w:r>
        <w:t>、</w:t>
      </w:r>
      <w:r>
        <w:rPr>
          <w:rFonts w:hint="eastAsia"/>
        </w:rPr>
        <w:t>技术</w:t>
      </w:r>
      <w:r>
        <w:t>联系人：</w:t>
      </w:r>
      <w:r>
        <w:rPr>
          <w:rFonts w:hint="eastAsia"/>
        </w:rPr>
        <w:t>张工，</w:t>
      </w:r>
      <w:r>
        <w:t>联系电话：</w:t>
      </w:r>
      <w:r>
        <w:rPr>
          <w:rFonts w:hint="eastAsia"/>
        </w:rPr>
        <w:t>13</w:t>
      </w:r>
      <w:r>
        <w:rPr>
          <w:rFonts w:hint="eastAsia"/>
          <w:lang w:val="en-US" w:eastAsia="zh-CN"/>
        </w:rPr>
        <w:t>6</w:t>
      </w:r>
      <w:r>
        <w:rPr>
          <w:rFonts w:hint="eastAsia"/>
        </w:rPr>
        <w:t>58641637</w:t>
      </w:r>
    </w:p>
    <w:p w14:paraId="74B6EA9C">
      <w:pPr>
        <w:spacing w:line="360" w:lineRule="auto"/>
        <w:rPr>
          <w:rFonts w:cs="Times New Roman"/>
          <w:b/>
          <w:bCs/>
        </w:rPr>
      </w:pPr>
      <w:r>
        <w:rPr>
          <w:rFonts w:hint="eastAsia" w:cs="Times New Roman"/>
          <w:b/>
          <w:bCs/>
        </w:rPr>
        <w:t>十一</w:t>
      </w:r>
      <w:r>
        <w:rPr>
          <w:rFonts w:cs="Times New Roman"/>
          <w:b/>
          <w:bCs/>
        </w:rPr>
        <w:t>、</w:t>
      </w:r>
      <w:r>
        <w:rPr>
          <w:rFonts w:hint="eastAsia" w:cs="Times New Roman"/>
          <w:b/>
          <w:bCs/>
        </w:rPr>
        <w:t>安全和防疫要求</w:t>
      </w:r>
    </w:p>
    <w:p w14:paraId="3960E743">
      <w:pPr>
        <w:spacing w:line="360" w:lineRule="auto"/>
        <w:ind w:firstLine="420" w:firstLineChars="200"/>
        <w:rPr>
          <w:rFonts w:cs="Times New Roman"/>
        </w:rPr>
      </w:pPr>
      <w:r>
        <w:rPr>
          <w:rFonts w:hint="eastAsia" w:cs="Times New Roman"/>
        </w:rPr>
        <w:t>参加谈判的</w:t>
      </w:r>
      <w:r>
        <w:rPr>
          <w:rFonts w:cs="Times New Roman"/>
        </w:rPr>
        <w:t>人员在济钢集团有限公司的一切活动，必须遵守济钢集团有限公司的安全规定。</w:t>
      </w:r>
      <w:r>
        <w:rPr>
          <w:rFonts w:hint="eastAsia" w:cs="Times New Roman"/>
        </w:rPr>
        <w:t>需要</w:t>
      </w:r>
      <w:r>
        <w:rPr>
          <w:rFonts w:cs="Times New Roman"/>
        </w:rPr>
        <w:t>现场</w:t>
      </w:r>
      <w:r>
        <w:rPr>
          <w:rFonts w:hint="eastAsia" w:cs="Times New Roman"/>
        </w:rPr>
        <w:t>踏勘时，</w:t>
      </w:r>
      <w:r>
        <w:rPr>
          <w:rFonts w:cs="Times New Roman"/>
        </w:rPr>
        <w:t>必须遵守安全管理规定，服从现场</w:t>
      </w:r>
      <w:r>
        <w:rPr>
          <w:rFonts w:hint="eastAsia" w:cs="Times New Roman"/>
        </w:rPr>
        <w:t>人员</w:t>
      </w:r>
      <w:r>
        <w:rPr>
          <w:rFonts w:cs="Times New Roman"/>
        </w:rPr>
        <w:t>指挥</w:t>
      </w:r>
      <w:r>
        <w:rPr>
          <w:rFonts w:hint="eastAsia" w:cs="Times New Roman"/>
        </w:rPr>
        <w:t>。</w:t>
      </w:r>
    </w:p>
    <w:p w14:paraId="6FD5DA51">
      <w:pPr>
        <w:spacing w:line="360" w:lineRule="auto"/>
        <w:rPr>
          <w:rFonts w:cs="Times New Roman"/>
          <w:b/>
          <w:bCs/>
        </w:rPr>
      </w:pPr>
      <w:r>
        <w:rPr>
          <w:rFonts w:hint="eastAsia" w:cs="Times New Roman"/>
          <w:b/>
          <w:bCs/>
        </w:rPr>
        <w:t>十二、公告中的内容和要求以最终的谈判文件为准。</w:t>
      </w:r>
    </w:p>
    <w:p w14:paraId="494FC9E8">
      <w:pPr>
        <w:spacing w:line="360" w:lineRule="auto"/>
        <w:ind w:firstLine="3150" w:firstLineChars="1500"/>
        <w:rPr>
          <w:rFonts w:cs="Times New Roman"/>
        </w:rPr>
      </w:pPr>
    </w:p>
    <w:p w14:paraId="7DA3C22E">
      <w:pPr>
        <w:spacing w:line="360" w:lineRule="auto"/>
        <w:ind w:firstLine="3780" w:firstLineChars="1800"/>
        <w:rPr>
          <w:rFonts w:cs="Times New Roman"/>
        </w:rPr>
      </w:pPr>
      <w:r>
        <w:rPr>
          <w:rFonts w:hint="eastAsia" w:cs="Times New Roman"/>
        </w:rPr>
        <w:t>山东济钢</w:t>
      </w:r>
      <w:r>
        <w:rPr>
          <w:rFonts w:cs="Times New Roman"/>
        </w:rPr>
        <w:t>环保新材料有限公司</w:t>
      </w:r>
    </w:p>
    <w:p w14:paraId="6F846D16">
      <w:pPr>
        <w:spacing w:line="360" w:lineRule="auto"/>
        <w:ind w:firstLine="4410" w:firstLineChars="2100"/>
        <w:rPr>
          <w:rFonts w:cs="Times New Roman"/>
        </w:rPr>
      </w:pPr>
      <w:r>
        <w:rPr>
          <w:rFonts w:hint="eastAsia" w:cs="Times New Roman"/>
          <w:lang w:eastAsia="zh-CN"/>
        </w:rPr>
        <w:t>2025</w:t>
      </w:r>
      <w:r>
        <w:rPr>
          <w:rFonts w:cs="Times New Roman"/>
        </w:rPr>
        <w:t>年</w:t>
      </w:r>
      <w:r>
        <w:rPr>
          <w:rFonts w:hint="eastAsia" w:cs="Times New Roman"/>
          <w:lang w:val="en-US" w:eastAsia="zh-CN"/>
        </w:rPr>
        <w:t>12</w:t>
      </w:r>
      <w:r>
        <w:rPr>
          <w:rFonts w:cs="Times New Roman"/>
        </w:rPr>
        <w:t>月</w:t>
      </w:r>
      <w:r>
        <w:rPr>
          <w:rFonts w:hint="eastAsia" w:cs="Times New Roman"/>
          <w:lang w:val="en-US" w:eastAsia="zh-CN"/>
        </w:rPr>
        <w:t>4</w:t>
      </w:r>
      <w:r>
        <w:rPr>
          <w:rFonts w:cs="Times New Roman"/>
        </w:rPr>
        <w:t>日</w:t>
      </w:r>
    </w:p>
    <w:p w14:paraId="24BCE29D">
      <w:pPr>
        <w:pStyle w:val="28"/>
        <w:spacing w:before="156"/>
        <w:rPr>
          <w:b/>
          <w:bCs/>
          <w:sz w:val="36"/>
          <w:szCs w:val="36"/>
        </w:rPr>
      </w:pPr>
      <w:bookmarkStart w:id="1" w:name="_Toc508871671"/>
      <w:r>
        <w:rPr>
          <w:rFonts w:hint="eastAsia"/>
          <w:b/>
          <w:bCs/>
          <w:sz w:val="36"/>
          <w:szCs w:val="36"/>
        </w:rPr>
        <w:t>第二章</w:t>
      </w:r>
      <w:r>
        <w:rPr>
          <w:b/>
          <w:bCs/>
          <w:sz w:val="36"/>
          <w:szCs w:val="36"/>
        </w:rPr>
        <w:t xml:space="preserve">  </w:t>
      </w:r>
      <w:r>
        <w:rPr>
          <w:rFonts w:hint="eastAsia"/>
          <w:b/>
          <w:bCs/>
          <w:sz w:val="36"/>
          <w:szCs w:val="36"/>
        </w:rPr>
        <w:t>谈判须知</w:t>
      </w:r>
      <w:bookmarkEnd w:id="1"/>
    </w:p>
    <w:p w14:paraId="052E5B29">
      <w:pPr>
        <w:pStyle w:val="30"/>
        <w:rPr>
          <w:b/>
          <w:bCs/>
          <w:sz w:val="30"/>
          <w:szCs w:val="30"/>
        </w:rPr>
      </w:pPr>
      <w:bookmarkStart w:id="2" w:name="_Toc508871672"/>
      <w:r>
        <w:rPr>
          <w:rStyle w:val="19"/>
          <w:rFonts w:hint="eastAsia"/>
          <w:b/>
          <w:bCs/>
        </w:rPr>
        <w:t>谈判须知前附表</w:t>
      </w:r>
      <w:bookmarkEnd w:id="2"/>
    </w:p>
    <w:tbl>
      <w:tblPr>
        <w:tblStyle w:val="1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38"/>
        <w:gridCol w:w="13"/>
      </w:tblGrid>
      <w:tr w14:paraId="7DF0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vAlign w:val="center"/>
          </w:tcPr>
          <w:p w14:paraId="04C6E097">
            <w:pPr>
              <w:spacing w:line="400" w:lineRule="exact"/>
              <w:jc w:val="center"/>
              <w:rPr>
                <w:b/>
              </w:rPr>
            </w:pPr>
            <w:r>
              <w:rPr>
                <w:rFonts w:hint="eastAsia"/>
                <w:b/>
              </w:rPr>
              <w:t>条款号</w:t>
            </w:r>
          </w:p>
        </w:tc>
        <w:tc>
          <w:tcPr>
            <w:tcW w:w="1660" w:type="dxa"/>
            <w:vAlign w:val="center"/>
          </w:tcPr>
          <w:p w14:paraId="5E66BFE2">
            <w:pPr>
              <w:spacing w:line="400" w:lineRule="exact"/>
              <w:jc w:val="center"/>
              <w:rPr>
                <w:b/>
              </w:rPr>
            </w:pPr>
            <w:r>
              <w:rPr>
                <w:rFonts w:hint="eastAsia"/>
                <w:b/>
              </w:rPr>
              <w:t>条款名称</w:t>
            </w:r>
          </w:p>
        </w:tc>
        <w:tc>
          <w:tcPr>
            <w:tcW w:w="7151" w:type="dxa"/>
            <w:gridSpan w:val="2"/>
            <w:vAlign w:val="center"/>
          </w:tcPr>
          <w:p w14:paraId="0C27ECBE">
            <w:pPr>
              <w:spacing w:line="340" w:lineRule="exact"/>
              <w:jc w:val="center"/>
              <w:rPr>
                <w:b/>
              </w:rPr>
            </w:pPr>
            <w:r>
              <w:rPr>
                <w:rFonts w:hint="eastAsia"/>
                <w:b/>
              </w:rPr>
              <w:t>编列内容</w:t>
            </w:r>
          </w:p>
        </w:tc>
      </w:tr>
      <w:tr w14:paraId="3FBD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92BCF27">
            <w:pPr>
              <w:jc w:val="center"/>
            </w:pPr>
            <w:r>
              <w:rPr>
                <w:rFonts w:hint="eastAsia"/>
              </w:rPr>
              <w:t>1.1.1</w:t>
            </w:r>
          </w:p>
        </w:tc>
        <w:tc>
          <w:tcPr>
            <w:tcW w:w="1660" w:type="dxa"/>
            <w:vAlign w:val="center"/>
          </w:tcPr>
          <w:p w14:paraId="3138A08D">
            <w:pPr>
              <w:jc w:val="center"/>
            </w:pPr>
            <w:r>
              <w:rPr>
                <w:rFonts w:hint="eastAsia"/>
              </w:rPr>
              <w:t>采购人</w:t>
            </w:r>
          </w:p>
        </w:tc>
        <w:tc>
          <w:tcPr>
            <w:tcW w:w="7151" w:type="dxa"/>
            <w:gridSpan w:val="2"/>
            <w:vAlign w:val="center"/>
          </w:tcPr>
          <w:p w14:paraId="2500DBBE">
            <w:pPr>
              <w:spacing w:line="340" w:lineRule="exact"/>
            </w:pPr>
            <w:r>
              <w:rPr>
                <w:rFonts w:hint="eastAsia"/>
              </w:rPr>
              <w:t>山东济钢环保新材料有限公司</w:t>
            </w:r>
          </w:p>
        </w:tc>
      </w:tr>
      <w:tr w14:paraId="34B9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D74BF73">
            <w:pPr>
              <w:jc w:val="center"/>
            </w:pPr>
            <w:r>
              <w:rPr>
                <w:rFonts w:hint="eastAsia"/>
              </w:rPr>
              <w:t>1.1.2</w:t>
            </w:r>
          </w:p>
        </w:tc>
        <w:tc>
          <w:tcPr>
            <w:tcW w:w="1660" w:type="dxa"/>
            <w:vAlign w:val="center"/>
          </w:tcPr>
          <w:p w14:paraId="1138489A">
            <w:pPr>
              <w:jc w:val="center"/>
            </w:pPr>
            <w:r>
              <w:rPr>
                <w:rFonts w:hint="eastAsia"/>
              </w:rPr>
              <w:t>项目名称</w:t>
            </w:r>
          </w:p>
        </w:tc>
        <w:tc>
          <w:tcPr>
            <w:tcW w:w="7151" w:type="dxa"/>
            <w:gridSpan w:val="2"/>
            <w:vAlign w:val="center"/>
          </w:tcPr>
          <w:p w14:paraId="7DA76585">
            <w:pPr>
              <w:spacing w:line="340" w:lineRule="exact"/>
            </w:pPr>
            <w:r>
              <w:rPr>
                <w:rFonts w:hint="eastAsia"/>
              </w:rPr>
              <w:t>山东济钢环保新材料有限公司</w:t>
            </w:r>
            <w:r>
              <w:rPr>
                <w:rFonts w:hint="eastAsia"/>
                <w:color w:val="000000"/>
              </w:rPr>
              <w:t>委托二次筛分</w:t>
            </w:r>
            <w:r>
              <w:rPr>
                <w:rFonts w:hint="eastAsia"/>
                <w:color w:val="000000"/>
                <w:lang w:eastAsia="zh-CN"/>
              </w:rPr>
              <w:t>1-3</w:t>
            </w:r>
            <w:r>
              <w:rPr>
                <w:rFonts w:hint="eastAsia"/>
                <w:color w:val="000000"/>
              </w:rPr>
              <w:t>石子</w:t>
            </w:r>
          </w:p>
        </w:tc>
      </w:tr>
      <w:tr w14:paraId="02C2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467842DB">
            <w:pPr>
              <w:jc w:val="center"/>
            </w:pPr>
            <w:r>
              <w:rPr>
                <w:rFonts w:hint="eastAsia"/>
              </w:rPr>
              <w:t>1.1.3</w:t>
            </w:r>
          </w:p>
        </w:tc>
        <w:tc>
          <w:tcPr>
            <w:tcW w:w="1660" w:type="dxa"/>
            <w:vAlign w:val="center"/>
          </w:tcPr>
          <w:p w14:paraId="293F4F35">
            <w:pPr>
              <w:spacing w:line="240" w:lineRule="atLeast"/>
              <w:jc w:val="center"/>
            </w:pPr>
            <w:r>
              <w:rPr>
                <w:rFonts w:hint="eastAsia"/>
              </w:rPr>
              <w:t>项目概况</w:t>
            </w:r>
          </w:p>
        </w:tc>
        <w:tc>
          <w:tcPr>
            <w:tcW w:w="7151" w:type="dxa"/>
            <w:gridSpan w:val="2"/>
            <w:vAlign w:val="center"/>
          </w:tcPr>
          <w:p w14:paraId="7D9D0651">
            <w:pPr>
              <w:spacing w:line="340" w:lineRule="exact"/>
            </w:pPr>
            <w:r>
              <w:rPr>
                <w:rFonts w:hint="eastAsia"/>
              </w:rPr>
              <w:t>产品含粉率高，影响拓宽销售市场、对接高端客户。</w:t>
            </w:r>
          </w:p>
        </w:tc>
      </w:tr>
      <w:tr w14:paraId="7744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7221ED37">
            <w:pPr>
              <w:jc w:val="center"/>
            </w:pPr>
            <w:r>
              <w:rPr>
                <w:rFonts w:hint="eastAsia"/>
              </w:rPr>
              <w:t>1.1.4</w:t>
            </w:r>
          </w:p>
        </w:tc>
        <w:tc>
          <w:tcPr>
            <w:tcW w:w="1660" w:type="dxa"/>
            <w:vAlign w:val="center"/>
          </w:tcPr>
          <w:p w14:paraId="6BF81A72">
            <w:pPr>
              <w:spacing w:line="240" w:lineRule="atLeast"/>
              <w:jc w:val="center"/>
            </w:pPr>
            <w:r>
              <w:rPr>
                <w:rFonts w:hint="eastAsia"/>
              </w:rPr>
              <w:t>项目地点</w:t>
            </w:r>
          </w:p>
        </w:tc>
        <w:tc>
          <w:tcPr>
            <w:tcW w:w="7151" w:type="dxa"/>
            <w:gridSpan w:val="2"/>
            <w:vAlign w:val="center"/>
          </w:tcPr>
          <w:p w14:paraId="5CDE17A8">
            <w:pPr>
              <w:spacing w:line="340" w:lineRule="exact"/>
            </w:pPr>
            <w:r>
              <w:rPr>
                <w:rFonts w:hint="eastAsia"/>
              </w:rPr>
              <w:t>山东省济南市章丘区官庄街道青野村东</w:t>
            </w:r>
          </w:p>
        </w:tc>
      </w:tr>
      <w:tr w14:paraId="0D47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639BB1C0">
            <w:pPr>
              <w:jc w:val="center"/>
            </w:pPr>
            <w:r>
              <w:rPr>
                <w:rFonts w:hint="eastAsia"/>
              </w:rPr>
              <w:t>1.2.1</w:t>
            </w:r>
          </w:p>
        </w:tc>
        <w:tc>
          <w:tcPr>
            <w:tcW w:w="1660" w:type="dxa"/>
            <w:vAlign w:val="center"/>
          </w:tcPr>
          <w:p w14:paraId="124C34AC">
            <w:pPr>
              <w:spacing w:line="240" w:lineRule="atLeast"/>
              <w:jc w:val="center"/>
            </w:pPr>
            <w:r>
              <w:rPr>
                <w:rFonts w:hint="eastAsia"/>
              </w:rPr>
              <w:t>资金来源</w:t>
            </w:r>
          </w:p>
        </w:tc>
        <w:tc>
          <w:tcPr>
            <w:tcW w:w="7151" w:type="dxa"/>
            <w:gridSpan w:val="2"/>
            <w:vAlign w:val="center"/>
          </w:tcPr>
          <w:p w14:paraId="767897EF">
            <w:pPr>
              <w:spacing w:line="340" w:lineRule="exact"/>
            </w:pPr>
            <w:r>
              <w:rPr>
                <w:rFonts w:hint="eastAsia"/>
              </w:rPr>
              <w:t>自有资金</w:t>
            </w:r>
          </w:p>
          <w:p w14:paraId="69D871AB">
            <w:pPr>
              <w:spacing w:line="340" w:lineRule="exact"/>
            </w:pPr>
          </w:p>
        </w:tc>
      </w:tr>
      <w:tr w14:paraId="25A7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2160F701">
            <w:pPr>
              <w:jc w:val="center"/>
            </w:pPr>
            <w:r>
              <w:rPr>
                <w:rFonts w:hint="eastAsia"/>
              </w:rPr>
              <w:t>1.2.2</w:t>
            </w:r>
          </w:p>
        </w:tc>
        <w:tc>
          <w:tcPr>
            <w:tcW w:w="1660" w:type="dxa"/>
            <w:vAlign w:val="center"/>
          </w:tcPr>
          <w:p w14:paraId="5789F3BB">
            <w:pPr>
              <w:spacing w:line="240" w:lineRule="atLeast"/>
              <w:jc w:val="center"/>
            </w:pPr>
            <w:r>
              <w:rPr>
                <w:rFonts w:hint="eastAsia"/>
              </w:rPr>
              <w:t>采购方式</w:t>
            </w:r>
          </w:p>
        </w:tc>
        <w:tc>
          <w:tcPr>
            <w:tcW w:w="7151" w:type="dxa"/>
            <w:gridSpan w:val="2"/>
            <w:vAlign w:val="center"/>
          </w:tcPr>
          <w:p w14:paraId="3344B697">
            <w:pPr>
              <w:spacing w:line="340" w:lineRule="exact"/>
            </w:pPr>
            <w:r>
              <w:rPr>
                <w:rFonts w:hint="eastAsia"/>
              </w:rPr>
              <w:t>竞争性谈判，资格后审</w:t>
            </w:r>
          </w:p>
        </w:tc>
      </w:tr>
      <w:tr w14:paraId="6F34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958" w:type="dxa"/>
            <w:vAlign w:val="center"/>
          </w:tcPr>
          <w:p w14:paraId="6A6F4D7E">
            <w:pPr>
              <w:jc w:val="center"/>
            </w:pPr>
            <w:r>
              <w:rPr>
                <w:rFonts w:hint="eastAsia"/>
              </w:rPr>
              <w:t>1.3.1</w:t>
            </w:r>
          </w:p>
        </w:tc>
        <w:tc>
          <w:tcPr>
            <w:tcW w:w="1660" w:type="dxa"/>
            <w:vAlign w:val="center"/>
          </w:tcPr>
          <w:p w14:paraId="79D9C051">
            <w:pPr>
              <w:spacing w:line="360" w:lineRule="exact"/>
              <w:jc w:val="center"/>
            </w:pPr>
            <w:r>
              <w:rPr>
                <w:rFonts w:hint="eastAsia"/>
              </w:rPr>
              <w:t>采购范围</w:t>
            </w:r>
          </w:p>
        </w:tc>
        <w:tc>
          <w:tcPr>
            <w:tcW w:w="7151" w:type="dxa"/>
            <w:gridSpan w:val="2"/>
            <w:vAlign w:val="center"/>
          </w:tcPr>
          <w:p w14:paraId="4C329E36">
            <w:pPr>
              <w:spacing w:line="360" w:lineRule="auto"/>
            </w:pPr>
            <w:r>
              <w:rPr>
                <w:rFonts w:hint="eastAsia"/>
              </w:rPr>
              <w:t>（详见第五章技术部分）</w:t>
            </w:r>
          </w:p>
        </w:tc>
      </w:tr>
      <w:tr w14:paraId="1FBA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958" w:type="dxa"/>
            <w:vAlign w:val="center"/>
          </w:tcPr>
          <w:p w14:paraId="590731DC">
            <w:pPr>
              <w:spacing w:line="240" w:lineRule="atLeast"/>
              <w:jc w:val="center"/>
            </w:pPr>
            <w:r>
              <w:rPr>
                <w:rFonts w:hint="eastAsia"/>
              </w:rPr>
              <w:t>1.3.2</w:t>
            </w:r>
          </w:p>
        </w:tc>
        <w:tc>
          <w:tcPr>
            <w:tcW w:w="1660" w:type="dxa"/>
            <w:vAlign w:val="center"/>
          </w:tcPr>
          <w:p w14:paraId="2B3FEF84">
            <w:pPr>
              <w:spacing w:line="300" w:lineRule="auto"/>
              <w:jc w:val="center"/>
            </w:pPr>
            <w:r>
              <w:rPr>
                <w:rFonts w:ascii="Times New Roman"/>
                <w:color w:val="000000"/>
              </w:rPr>
              <w:t>计划工期</w:t>
            </w:r>
          </w:p>
        </w:tc>
        <w:tc>
          <w:tcPr>
            <w:tcW w:w="7151" w:type="dxa"/>
            <w:gridSpan w:val="2"/>
            <w:vAlign w:val="center"/>
          </w:tcPr>
          <w:p w14:paraId="1B4ECDB2">
            <w:pPr>
              <w:spacing w:line="300" w:lineRule="auto"/>
            </w:pPr>
            <w:r>
              <w:rPr>
                <w:rFonts w:hint="eastAsia"/>
              </w:rPr>
              <w:t>自合同签订之日起</w:t>
            </w:r>
            <w:r>
              <w:rPr>
                <w:rFonts w:hint="eastAsia"/>
                <w:lang w:val="en-US" w:eastAsia="zh-CN"/>
              </w:rPr>
              <w:t>4</w:t>
            </w:r>
            <w:r>
              <w:rPr>
                <w:rFonts w:hint="eastAsia"/>
              </w:rPr>
              <w:t>个月</w:t>
            </w:r>
          </w:p>
        </w:tc>
      </w:tr>
      <w:tr w14:paraId="0BA3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958" w:type="dxa"/>
            <w:vAlign w:val="center"/>
          </w:tcPr>
          <w:p w14:paraId="09C92B58">
            <w:pPr>
              <w:spacing w:line="240" w:lineRule="atLeast"/>
              <w:jc w:val="center"/>
            </w:pPr>
            <w:r>
              <w:rPr>
                <w:rFonts w:hint="eastAsia"/>
              </w:rPr>
              <w:t>1.3.3</w:t>
            </w:r>
          </w:p>
        </w:tc>
        <w:tc>
          <w:tcPr>
            <w:tcW w:w="1660" w:type="dxa"/>
            <w:vAlign w:val="center"/>
          </w:tcPr>
          <w:p w14:paraId="6F8FF26F">
            <w:pPr>
              <w:spacing w:line="240" w:lineRule="atLeast"/>
              <w:jc w:val="center"/>
            </w:pPr>
            <w:r>
              <w:rPr>
                <w:rFonts w:hint="eastAsia"/>
              </w:rPr>
              <w:t>施工地点</w:t>
            </w:r>
          </w:p>
        </w:tc>
        <w:tc>
          <w:tcPr>
            <w:tcW w:w="7151" w:type="dxa"/>
            <w:gridSpan w:val="2"/>
            <w:vAlign w:val="center"/>
          </w:tcPr>
          <w:p w14:paraId="5DCD908D">
            <w:pPr>
              <w:spacing w:line="340" w:lineRule="exact"/>
              <w:rPr>
                <w:b/>
              </w:rPr>
            </w:pPr>
            <w:r>
              <w:rPr>
                <w:rFonts w:hint="eastAsia"/>
              </w:rPr>
              <w:t>山东省济南市章丘区官庄街道青野村东</w:t>
            </w:r>
          </w:p>
        </w:tc>
      </w:tr>
      <w:tr w14:paraId="7DBE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vAlign w:val="center"/>
          </w:tcPr>
          <w:p w14:paraId="13987330">
            <w:pPr>
              <w:jc w:val="center"/>
            </w:pPr>
            <w:r>
              <w:rPr>
                <w:rFonts w:hint="eastAsia"/>
              </w:rPr>
              <w:t>1.4.1</w:t>
            </w:r>
          </w:p>
        </w:tc>
        <w:tc>
          <w:tcPr>
            <w:tcW w:w="1660" w:type="dxa"/>
            <w:vAlign w:val="center"/>
          </w:tcPr>
          <w:p w14:paraId="30C96552">
            <w:pPr>
              <w:spacing w:line="360" w:lineRule="exact"/>
              <w:jc w:val="center"/>
            </w:pPr>
            <w:r>
              <w:rPr>
                <w:rFonts w:hint="eastAsia"/>
              </w:rPr>
              <w:t xml:space="preserve">供应商的资格要求 </w:t>
            </w:r>
          </w:p>
        </w:tc>
        <w:tc>
          <w:tcPr>
            <w:tcW w:w="7151" w:type="dxa"/>
            <w:gridSpan w:val="2"/>
            <w:vAlign w:val="center"/>
          </w:tcPr>
          <w:p w14:paraId="3F5300C1">
            <w:pPr>
              <w:spacing w:line="360" w:lineRule="auto"/>
              <w:ind w:firstLine="420" w:firstLineChars="200"/>
            </w:pPr>
            <w:r>
              <w:rPr>
                <w:rFonts w:hint="eastAsia"/>
              </w:rPr>
              <w:t>为依法登记注册的独立法人，具有独立承担民事责任的能力。具有履行合同必需的专业技术、资质能力，提供有效期之内的证书。</w:t>
            </w:r>
            <w:r>
              <w:rPr>
                <w:rFonts w:cs="Times New Roman"/>
              </w:rPr>
              <w:t>具有良好的企业信誉和健全的财务会计制度；</w:t>
            </w:r>
          </w:p>
        </w:tc>
      </w:tr>
      <w:tr w14:paraId="2A76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F0DBED3">
            <w:pPr>
              <w:spacing w:line="240" w:lineRule="atLeast"/>
              <w:jc w:val="center"/>
            </w:pPr>
            <w:r>
              <w:rPr>
                <w:rFonts w:hint="eastAsia"/>
              </w:rPr>
              <w:t>1.4.2</w:t>
            </w:r>
          </w:p>
        </w:tc>
        <w:tc>
          <w:tcPr>
            <w:tcW w:w="1660" w:type="dxa"/>
            <w:vAlign w:val="center"/>
          </w:tcPr>
          <w:p w14:paraId="633854EE">
            <w:pPr>
              <w:spacing w:line="240" w:lineRule="atLeast"/>
              <w:jc w:val="center"/>
            </w:pPr>
            <w:r>
              <w:rPr>
                <w:rFonts w:hint="eastAsia"/>
              </w:rPr>
              <w:t>是否接受联合体</w:t>
            </w:r>
          </w:p>
        </w:tc>
        <w:tc>
          <w:tcPr>
            <w:tcW w:w="7151" w:type="dxa"/>
            <w:gridSpan w:val="2"/>
            <w:vAlign w:val="center"/>
          </w:tcPr>
          <w:p w14:paraId="2F4BECF3">
            <w:pPr>
              <w:spacing w:line="340" w:lineRule="exact"/>
            </w:pPr>
            <w:r>
              <w:rPr>
                <w:rFonts w:hint="eastAsia"/>
              </w:rPr>
              <w:t>不接受</w:t>
            </w:r>
          </w:p>
        </w:tc>
      </w:tr>
      <w:tr w14:paraId="0973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49724C5">
            <w:pPr>
              <w:spacing w:line="240" w:lineRule="atLeast"/>
              <w:jc w:val="center"/>
            </w:pPr>
            <w:r>
              <w:rPr>
                <w:rFonts w:hint="eastAsia"/>
              </w:rPr>
              <w:t>1.9</w:t>
            </w:r>
          </w:p>
        </w:tc>
        <w:tc>
          <w:tcPr>
            <w:tcW w:w="1660" w:type="dxa"/>
            <w:vAlign w:val="center"/>
          </w:tcPr>
          <w:p w14:paraId="64F665E1">
            <w:pPr>
              <w:spacing w:line="240" w:lineRule="atLeast"/>
              <w:jc w:val="center"/>
            </w:pPr>
            <w:r>
              <w:rPr>
                <w:rFonts w:hint="eastAsia"/>
              </w:rPr>
              <w:t>是否组织现场踏勘</w:t>
            </w:r>
          </w:p>
        </w:tc>
        <w:tc>
          <w:tcPr>
            <w:tcW w:w="7151" w:type="dxa"/>
            <w:gridSpan w:val="2"/>
            <w:vAlign w:val="center"/>
          </w:tcPr>
          <w:p w14:paraId="1F80663E">
            <w:pPr>
              <w:spacing w:line="340" w:lineRule="exact"/>
            </w:pPr>
            <w:r>
              <w:rPr>
                <w:rFonts w:hint="eastAsia"/>
              </w:rPr>
              <w:t>不统一组织现场踏勘</w:t>
            </w:r>
          </w:p>
        </w:tc>
      </w:tr>
      <w:tr w14:paraId="5698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3507C75">
            <w:pPr>
              <w:spacing w:line="240" w:lineRule="atLeast"/>
              <w:jc w:val="center"/>
            </w:pPr>
            <w:r>
              <w:rPr>
                <w:rFonts w:hint="eastAsia"/>
              </w:rPr>
              <w:t>1.10</w:t>
            </w:r>
          </w:p>
        </w:tc>
        <w:tc>
          <w:tcPr>
            <w:tcW w:w="1660" w:type="dxa"/>
            <w:vAlign w:val="center"/>
          </w:tcPr>
          <w:p w14:paraId="408B562F">
            <w:pPr>
              <w:spacing w:line="240" w:lineRule="atLeast"/>
              <w:jc w:val="center"/>
            </w:pPr>
            <w:r>
              <w:rPr>
                <w:rFonts w:hint="eastAsia"/>
              </w:rPr>
              <w:t>谈判预备会</w:t>
            </w:r>
          </w:p>
        </w:tc>
        <w:tc>
          <w:tcPr>
            <w:tcW w:w="7151" w:type="dxa"/>
            <w:gridSpan w:val="2"/>
            <w:vAlign w:val="center"/>
          </w:tcPr>
          <w:p w14:paraId="1EF22C28">
            <w:pPr>
              <w:spacing w:line="340" w:lineRule="exact"/>
            </w:pPr>
            <w:r>
              <w:rPr>
                <w:rFonts w:hint="eastAsia"/>
              </w:rPr>
              <w:t>不召开</w:t>
            </w:r>
          </w:p>
        </w:tc>
      </w:tr>
      <w:tr w14:paraId="288F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vAlign w:val="center"/>
          </w:tcPr>
          <w:p w14:paraId="3AE7C36E">
            <w:pPr>
              <w:jc w:val="center"/>
            </w:pPr>
            <w:r>
              <w:rPr>
                <w:rFonts w:hint="eastAsia"/>
              </w:rPr>
              <w:t>2.1.1</w:t>
            </w:r>
          </w:p>
        </w:tc>
        <w:tc>
          <w:tcPr>
            <w:tcW w:w="1660" w:type="dxa"/>
            <w:vAlign w:val="center"/>
          </w:tcPr>
          <w:p w14:paraId="76458436">
            <w:pPr>
              <w:spacing w:line="360" w:lineRule="exact"/>
              <w:jc w:val="center"/>
            </w:pPr>
            <w:r>
              <w:rPr>
                <w:rFonts w:hint="eastAsia"/>
              </w:rPr>
              <w:t>谈判文件的发布</w:t>
            </w:r>
          </w:p>
        </w:tc>
        <w:tc>
          <w:tcPr>
            <w:tcW w:w="7151" w:type="dxa"/>
            <w:gridSpan w:val="2"/>
            <w:vAlign w:val="center"/>
          </w:tcPr>
          <w:p w14:paraId="3D7B88EC">
            <w:pPr>
              <w:spacing w:line="340" w:lineRule="exact"/>
            </w:pPr>
            <w:r>
              <w:rPr>
                <w:rFonts w:hint="eastAsia"/>
              </w:rPr>
              <w:t>本谈判文件在济钢集团有限公司阳光购销平台（网址：</w:t>
            </w:r>
            <w:r>
              <w:fldChar w:fldCharType="begin"/>
            </w:r>
            <w:r>
              <w:instrText xml:space="preserve"> HYPERLINK "http://bidding.jigang.com.cn" </w:instrText>
            </w:r>
            <w:r>
              <w:fldChar w:fldCharType="separate"/>
            </w:r>
            <w:r>
              <w:rPr>
                <w:rFonts w:hint="eastAsia"/>
              </w:rPr>
              <w:t>http://bidding.jigang.com.cn</w:t>
            </w:r>
            <w:r>
              <w:rPr>
                <w:rFonts w:hint="eastAsia"/>
              </w:rPr>
              <w:fldChar w:fldCharType="end"/>
            </w:r>
            <w:r>
              <w:rPr>
                <w:rFonts w:hint="eastAsia"/>
              </w:rPr>
              <w:t>/） 上发布。除上述媒介以外的媒介转载或发布与本次谈判相关信息的，采购人不承担任何责任并保留追究相关方责任的权利。</w:t>
            </w:r>
          </w:p>
        </w:tc>
      </w:tr>
      <w:tr w14:paraId="38F0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218C8DD">
            <w:pPr>
              <w:jc w:val="center"/>
            </w:pPr>
            <w:r>
              <w:rPr>
                <w:rFonts w:hint="eastAsia"/>
              </w:rPr>
              <w:t>2.2.2</w:t>
            </w:r>
          </w:p>
        </w:tc>
        <w:tc>
          <w:tcPr>
            <w:tcW w:w="1660" w:type="dxa"/>
            <w:vAlign w:val="center"/>
          </w:tcPr>
          <w:p w14:paraId="1DB74AC8">
            <w:pPr>
              <w:spacing w:line="442" w:lineRule="exact"/>
              <w:jc w:val="center"/>
            </w:pPr>
            <w:r>
              <w:rPr>
                <w:rFonts w:hint="eastAsia"/>
              </w:rPr>
              <w:t>谈判</w:t>
            </w:r>
            <w:r>
              <w:t>文件的</w:t>
            </w:r>
            <w:r>
              <w:rPr>
                <w:rFonts w:hint="eastAsia"/>
              </w:rPr>
              <w:t>澄清</w:t>
            </w:r>
          </w:p>
        </w:tc>
        <w:tc>
          <w:tcPr>
            <w:tcW w:w="7151" w:type="dxa"/>
            <w:gridSpan w:val="2"/>
            <w:tcBorders>
              <w:bottom w:val="single" w:color="auto" w:sz="4" w:space="0"/>
            </w:tcBorders>
            <w:vAlign w:val="center"/>
          </w:tcPr>
          <w:p w14:paraId="67C4B2E9">
            <w:pPr>
              <w:spacing w:line="398" w:lineRule="exact"/>
            </w:pPr>
            <w:r>
              <w:rPr>
                <w:rFonts w:hint="eastAsia"/>
              </w:rPr>
              <w:t>谈判</w:t>
            </w:r>
            <w:r>
              <w:t>文件</w:t>
            </w:r>
            <w:r>
              <w:rPr>
                <w:rFonts w:hint="eastAsia"/>
              </w:rPr>
              <w:t>澄清的</w:t>
            </w:r>
            <w:r>
              <w:t>截止时间</w:t>
            </w:r>
            <w:r>
              <w:rPr>
                <w:rFonts w:hint="eastAsia"/>
              </w:rPr>
              <w:t>为谈判开始前</w:t>
            </w:r>
            <w:r>
              <w:rPr>
                <w:rFonts w:hint="eastAsia"/>
                <w:lang w:val="en-US" w:eastAsia="zh-CN"/>
              </w:rPr>
              <w:t>2</w:t>
            </w:r>
            <w:r>
              <w:t>日</w:t>
            </w:r>
            <w:r>
              <w:rPr>
                <w:rFonts w:hint="eastAsia"/>
              </w:rPr>
              <w:t>，在济钢集团有限公司阳光购销平台（网址：</w:t>
            </w:r>
            <w:r>
              <w:fldChar w:fldCharType="begin"/>
            </w:r>
            <w:r>
              <w:instrText xml:space="preserve"> HYPERLINK "http://bidding.jigang.com.cn" </w:instrText>
            </w:r>
            <w:r>
              <w:fldChar w:fldCharType="separate"/>
            </w:r>
            <w:r>
              <w:rPr>
                <w:rFonts w:hint="eastAsia"/>
              </w:rPr>
              <w:t>http://bidding.jigang.com.cn</w:t>
            </w:r>
            <w:r>
              <w:rPr>
                <w:rFonts w:hint="eastAsia"/>
              </w:rPr>
              <w:fldChar w:fldCharType="end"/>
            </w:r>
            <w:r>
              <w:rPr>
                <w:rFonts w:hint="eastAsia"/>
              </w:rPr>
              <w:t>/） 上发布</w:t>
            </w:r>
          </w:p>
        </w:tc>
      </w:tr>
      <w:tr w14:paraId="5AF2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5EA0F46">
            <w:pPr>
              <w:jc w:val="center"/>
            </w:pPr>
            <w:r>
              <w:rPr>
                <w:rFonts w:hint="eastAsia"/>
              </w:rPr>
              <w:t>2.3</w:t>
            </w:r>
          </w:p>
        </w:tc>
        <w:tc>
          <w:tcPr>
            <w:tcW w:w="1660" w:type="dxa"/>
            <w:vAlign w:val="center"/>
          </w:tcPr>
          <w:p w14:paraId="040C003C">
            <w:pPr>
              <w:spacing w:line="360" w:lineRule="exact"/>
              <w:jc w:val="center"/>
            </w:pPr>
            <w:r>
              <w:rPr>
                <w:rFonts w:hint="eastAsia"/>
              </w:rPr>
              <w:t>谈判</w:t>
            </w:r>
            <w:r>
              <w:t>文件</w:t>
            </w:r>
            <w:r>
              <w:rPr>
                <w:rFonts w:hint="eastAsia"/>
              </w:rPr>
              <w:t>的</w:t>
            </w:r>
            <w:r>
              <w:t>修改</w:t>
            </w:r>
          </w:p>
        </w:tc>
        <w:tc>
          <w:tcPr>
            <w:tcW w:w="7151" w:type="dxa"/>
            <w:gridSpan w:val="2"/>
            <w:tcBorders>
              <w:bottom w:val="single" w:color="auto" w:sz="4" w:space="0"/>
            </w:tcBorders>
            <w:vAlign w:val="center"/>
          </w:tcPr>
          <w:p w14:paraId="090ACF15">
            <w:pPr>
              <w:spacing w:line="398" w:lineRule="exact"/>
            </w:pPr>
            <w:r>
              <w:rPr>
                <w:rFonts w:hint="eastAsia"/>
              </w:rPr>
              <w:t>谈判文件修改的截止时间为谈判开始前</w:t>
            </w:r>
            <w:r>
              <w:rPr>
                <w:rFonts w:hint="eastAsia"/>
                <w:lang w:val="en-US" w:eastAsia="zh-CN"/>
              </w:rPr>
              <w:t>2</w:t>
            </w:r>
            <w:r>
              <w:rPr>
                <w:rFonts w:hint="eastAsia"/>
              </w:rPr>
              <w:t>日，在济钢集团有限公司阳光购销平台（网址：</w:t>
            </w:r>
            <w:r>
              <w:fldChar w:fldCharType="begin"/>
            </w:r>
            <w:r>
              <w:instrText xml:space="preserve"> HYPERLINK "http://bidding.jigang.com.cn" </w:instrText>
            </w:r>
            <w:r>
              <w:fldChar w:fldCharType="separate"/>
            </w:r>
            <w:r>
              <w:rPr>
                <w:rFonts w:hint="eastAsia"/>
              </w:rPr>
              <w:t>http://bidding.jigang.com.cn</w:t>
            </w:r>
            <w:r>
              <w:rPr>
                <w:rFonts w:hint="eastAsia"/>
              </w:rPr>
              <w:fldChar w:fldCharType="end"/>
            </w:r>
            <w:r>
              <w:rPr>
                <w:rFonts w:hint="eastAsia"/>
              </w:rPr>
              <w:t>/） 上发布。采购人对谈判文件修改距谈判时间不足 天的，相应延长谈判开始时间。</w:t>
            </w:r>
          </w:p>
        </w:tc>
      </w:tr>
      <w:tr w14:paraId="0500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8938AD7">
            <w:pPr>
              <w:jc w:val="center"/>
            </w:pPr>
            <w:r>
              <w:rPr>
                <w:rFonts w:hint="eastAsia"/>
              </w:rPr>
              <w:t>2.1.5</w:t>
            </w:r>
          </w:p>
        </w:tc>
        <w:tc>
          <w:tcPr>
            <w:tcW w:w="1660" w:type="dxa"/>
            <w:vAlign w:val="center"/>
          </w:tcPr>
          <w:p w14:paraId="0D203384">
            <w:pPr>
              <w:spacing w:line="360" w:lineRule="exact"/>
            </w:pPr>
            <w:r>
              <w:rPr>
                <w:rFonts w:hint="eastAsia"/>
              </w:rPr>
              <w:t>构成谈判文件的其他材料</w:t>
            </w:r>
          </w:p>
        </w:tc>
        <w:tc>
          <w:tcPr>
            <w:tcW w:w="7151" w:type="dxa"/>
            <w:gridSpan w:val="2"/>
            <w:tcBorders>
              <w:bottom w:val="single" w:color="auto" w:sz="4" w:space="0"/>
            </w:tcBorders>
            <w:vAlign w:val="center"/>
          </w:tcPr>
          <w:p w14:paraId="2E08A0E7">
            <w:pPr>
              <w:spacing w:line="340" w:lineRule="exact"/>
            </w:pPr>
            <w:r>
              <w:rPr>
                <w:rFonts w:hint="eastAsia"/>
              </w:rPr>
              <w:t>谈判文件澄清、答疑、补充文件等</w:t>
            </w:r>
          </w:p>
        </w:tc>
      </w:tr>
      <w:tr w14:paraId="29DB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9F98255">
            <w:pPr>
              <w:jc w:val="center"/>
            </w:pPr>
            <w:r>
              <w:rPr>
                <w:rFonts w:hint="eastAsia"/>
              </w:rPr>
              <w:t>3.1.1</w:t>
            </w:r>
          </w:p>
        </w:tc>
        <w:tc>
          <w:tcPr>
            <w:tcW w:w="1660" w:type="dxa"/>
            <w:vAlign w:val="center"/>
          </w:tcPr>
          <w:p w14:paraId="70F12EEF">
            <w:pPr>
              <w:spacing w:line="360" w:lineRule="exact"/>
              <w:jc w:val="center"/>
            </w:pPr>
            <w:r>
              <w:rPr>
                <w:rFonts w:hint="eastAsia"/>
              </w:rPr>
              <w:t>响应文件内容</w:t>
            </w:r>
          </w:p>
        </w:tc>
        <w:tc>
          <w:tcPr>
            <w:tcW w:w="7151" w:type="dxa"/>
            <w:gridSpan w:val="2"/>
            <w:tcBorders>
              <w:bottom w:val="single" w:color="auto" w:sz="4" w:space="0"/>
            </w:tcBorders>
            <w:vAlign w:val="center"/>
          </w:tcPr>
          <w:p w14:paraId="251757EF">
            <w:pPr>
              <w:spacing w:line="340" w:lineRule="exact"/>
            </w:pPr>
            <w:r>
              <w:rPr>
                <w:rFonts w:hint="eastAsia"/>
              </w:rPr>
              <w:t>谈判文件商务、技术部分内容</w:t>
            </w:r>
          </w:p>
        </w:tc>
      </w:tr>
      <w:tr w14:paraId="2D06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vAlign w:val="center"/>
          </w:tcPr>
          <w:p w14:paraId="7BA9A7A8">
            <w:pPr>
              <w:jc w:val="center"/>
            </w:pPr>
            <w:r>
              <w:rPr>
                <w:rFonts w:hint="eastAsia"/>
              </w:rPr>
              <w:t>3.2.1</w:t>
            </w:r>
          </w:p>
        </w:tc>
        <w:tc>
          <w:tcPr>
            <w:tcW w:w="1660" w:type="dxa"/>
            <w:shd w:val="clear" w:color="auto" w:fill="auto"/>
            <w:vAlign w:val="center"/>
          </w:tcPr>
          <w:p w14:paraId="0629E369">
            <w:pPr>
              <w:spacing w:line="360" w:lineRule="exact"/>
              <w:jc w:val="center"/>
            </w:pPr>
            <w:r>
              <w:rPr>
                <w:rFonts w:hint="eastAsia"/>
              </w:rPr>
              <w:t>报价</w:t>
            </w:r>
          </w:p>
        </w:tc>
        <w:tc>
          <w:tcPr>
            <w:tcW w:w="7151" w:type="dxa"/>
            <w:gridSpan w:val="2"/>
            <w:shd w:val="clear" w:color="auto" w:fill="FFFFFF"/>
            <w:vAlign w:val="center"/>
          </w:tcPr>
          <w:p w14:paraId="440F82C7">
            <w:pPr>
              <w:spacing w:line="340" w:lineRule="exact"/>
            </w:pPr>
            <w:r>
              <w:rPr>
                <w:rFonts w:hint="eastAsia"/>
              </w:rPr>
              <w:t xml:space="preserve">1.报价方式：总价。 </w:t>
            </w:r>
          </w:p>
          <w:p w14:paraId="20EA49A4">
            <w:pPr>
              <w:spacing w:line="340" w:lineRule="exact"/>
            </w:pPr>
            <w:r>
              <w:rPr>
                <w:rFonts w:hint="eastAsia"/>
              </w:rPr>
              <w:t>2.报价币种：人民币。</w:t>
            </w:r>
          </w:p>
          <w:p w14:paraId="287DCA82">
            <w:pPr>
              <w:spacing w:line="340" w:lineRule="exact"/>
            </w:pPr>
            <w:r>
              <w:rPr>
                <w:rFonts w:hint="eastAsia"/>
              </w:rPr>
              <w:t>3.报价为含增值税价格，承兑支付。</w:t>
            </w:r>
          </w:p>
        </w:tc>
      </w:tr>
      <w:tr w14:paraId="6650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28F79B1">
            <w:pPr>
              <w:jc w:val="center"/>
            </w:pPr>
            <w:r>
              <w:rPr>
                <w:rFonts w:hint="eastAsia"/>
              </w:rPr>
              <w:t>3.2.2</w:t>
            </w:r>
          </w:p>
        </w:tc>
        <w:tc>
          <w:tcPr>
            <w:tcW w:w="1660" w:type="dxa"/>
            <w:vAlign w:val="center"/>
          </w:tcPr>
          <w:p w14:paraId="74046DED">
            <w:pPr>
              <w:spacing w:line="360" w:lineRule="exact"/>
              <w:jc w:val="center"/>
            </w:pPr>
            <w:r>
              <w:rPr>
                <w:rFonts w:hint="eastAsia"/>
              </w:rPr>
              <w:t>报价修改</w:t>
            </w:r>
          </w:p>
        </w:tc>
        <w:tc>
          <w:tcPr>
            <w:tcW w:w="7151" w:type="dxa"/>
            <w:gridSpan w:val="2"/>
            <w:vAlign w:val="center"/>
          </w:tcPr>
          <w:p w14:paraId="6DC5E34E">
            <w:pPr>
              <w:spacing w:line="340" w:lineRule="exact"/>
            </w:pPr>
            <w:r>
              <w:rPr>
                <w:rFonts w:hint="eastAsia"/>
              </w:rPr>
              <w:t>详见谈判须知正文3.2.2节内容</w:t>
            </w:r>
          </w:p>
        </w:tc>
      </w:tr>
      <w:tr w14:paraId="7C80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C3296DB">
            <w:pPr>
              <w:jc w:val="center"/>
            </w:pPr>
            <w:r>
              <w:rPr>
                <w:rFonts w:hint="eastAsia"/>
              </w:rPr>
              <w:t>3.3.1</w:t>
            </w:r>
          </w:p>
        </w:tc>
        <w:tc>
          <w:tcPr>
            <w:tcW w:w="1660" w:type="dxa"/>
            <w:vAlign w:val="center"/>
          </w:tcPr>
          <w:p w14:paraId="181A7BB0">
            <w:pPr>
              <w:spacing w:line="360" w:lineRule="exact"/>
              <w:jc w:val="center"/>
            </w:pPr>
            <w:r>
              <w:rPr>
                <w:rFonts w:hint="eastAsia"/>
              </w:rPr>
              <w:t>谈判有效期</w:t>
            </w:r>
          </w:p>
        </w:tc>
        <w:tc>
          <w:tcPr>
            <w:tcW w:w="7151" w:type="dxa"/>
            <w:gridSpan w:val="2"/>
            <w:vAlign w:val="center"/>
          </w:tcPr>
          <w:p w14:paraId="6988A900">
            <w:pPr>
              <w:spacing w:line="340" w:lineRule="exact"/>
            </w:pPr>
            <w:r>
              <w:rPr>
                <w:rFonts w:hint="eastAsia"/>
              </w:rPr>
              <w:t>90日历天（自</w:t>
            </w:r>
            <w:r>
              <w:t>递交</w:t>
            </w:r>
            <w:r>
              <w:rPr>
                <w:rFonts w:hint="eastAsia"/>
              </w:rPr>
              <w:t>响应</w:t>
            </w:r>
            <w:r>
              <w:t>文件截止</w:t>
            </w:r>
            <w:r>
              <w:rPr>
                <w:rFonts w:hint="eastAsia"/>
              </w:rPr>
              <w:t>之日起）</w:t>
            </w:r>
          </w:p>
        </w:tc>
      </w:tr>
      <w:tr w14:paraId="3FAD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AB73E31">
            <w:pPr>
              <w:jc w:val="center"/>
            </w:pPr>
            <w:r>
              <w:rPr>
                <w:rFonts w:hint="eastAsia"/>
              </w:rPr>
              <w:t>3.4.1</w:t>
            </w:r>
          </w:p>
        </w:tc>
        <w:tc>
          <w:tcPr>
            <w:tcW w:w="1660" w:type="dxa"/>
            <w:vAlign w:val="center"/>
          </w:tcPr>
          <w:p w14:paraId="3FE115BA">
            <w:pPr>
              <w:spacing w:line="240" w:lineRule="auto"/>
              <w:jc w:val="center"/>
            </w:pPr>
            <w:r>
              <w:rPr>
                <w:rFonts w:hint="eastAsia" w:ascii="宋体" w:hAnsi="宋体" w:cs="宋体"/>
                <w:sz w:val="24"/>
                <w:szCs w:val="24"/>
              </w:rPr>
              <w:t>资格审查</w:t>
            </w:r>
          </w:p>
        </w:tc>
        <w:tc>
          <w:tcPr>
            <w:tcW w:w="7151" w:type="dxa"/>
            <w:gridSpan w:val="2"/>
            <w:vAlign w:val="center"/>
          </w:tcPr>
          <w:p w14:paraId="63E48797">
            <w:pPr>
              <w:spacing w:line="340" w:lineRule="exact"/>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委员会对</w:t>
            </w:r>
            <w:r>
              <w:rPr>
                <w:rFonts w:hint="eastAsia" w:ascii="宋体" w:hAnsi="宋体" w:eastAsia="宋体" w:cs="宋体"/>
                <w:sz w:val="24"/>
                <w:szCs w:val="24"/>
                <w:lang w:val="en-US" w:eastAsia="zh-CN"/>
              </w:rPr>
              <w:t>各</w:t>
            </w:r>
            <w:r>
              <w:rPr>
                <w:rFonts w:hint="eastAsia" w:ascii="宋体" w:hAnsi="宋体" w:eastAsia="宋体" w:cs="宋体"/>
                <w:sz w:val="24"/>
                <w:szCs w:val="24"/>
                <w:lang w:val="zh-CN"/>
              </w:rPr>
              <w:t>单位的资格审查文件进行评审，评审</w:t>
            </w:r>
            <w:r>
              <w:rPr>
                <w:rFonts w:hint="eastAsia" w:ascii="宋体" w:hAnsi="宋体" w:eastAsia="宋体" w:cs="宋体"/>
                <w:sz w:val="24"/>
                <w:szCs w:val="24"/>
                <w:lang w:val="en-US" w:eastAsia="zh-CN"/>
              </w:rPr>
              <w:t>不</w:t>
            </w:r>
            <w:r>
              <w:rPr>
                <w:rFonts w:hint="eastAsia" w:ascii="宋体" w:hAnsi="宋体" w:eastAsia="宋体" w:cs="宋体"/>
                <w:sz w:val="24"/>
                <w:szCs w:val="24"/>
                <w:lang w:val="zh-CN"/>
              </w:rPr>
              <w:t>合格的</w:t>
            </w:r>
            <w:r>
              <w:rPr>
                <w:rFonts w:hint="eastAsia" w:ascii="宋体" w:hAnsi="宋体" w:eastAsia="宋体" w:cs="宋体"/>
                <w:sz w:val="24"/>
                <w:szCs w:val="24"/>
                <w:lang w:val="en-US" w:eastAsia="zh-CN"/>
              </w:rPr>
              <w:t>供应商不</w:t>
            </w:r>
            <w:r>
              <w:rPr>
                <w:rFonts w:hint="eastAsia" w:ascii="宋体" w:hAnsi="宋体" w:eastAsia="宋体" w:cs="宋体"/>
                <w:sz w:val="24"/>
                <w:szCs w:val="24"/>
                <w:lang w:val="zh-CN"/>
              </w:rPr>
              <w:t>进入下一阶段评审。</w:t>
            </w:r>
          </w:p>
          <w:p w14:paraId="3CA6EFDB">
            <w:pPr>
              <w:spacing w:line="240" w:lineRule="auto"/>
            </w:pPr>
            <w:r>
              <w:rPr>
                <w:rFonts w:hint="eastAsia" w:ascii="宋体" w:hAnsi="宋体" w:eastAsia="宋体" w:cs="宋体"/>
                <w:sz w:val="24"/>
                <w:szCs w:val="24"/>
                <w:lang w:val="zh-CN"/>
              </w:rPr>
              <w:t>2、</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在资格审查文件中按照《公告》 “四、</w:t>
            </w:r>
            <w:r>
              <w:rPr>
                <w:rFonts w:hint="eastAsia" w:ascii="宋体" w:hAnsi="宋体" w:eastAsia="宋体" w:cs="宋体"/>
                <w:sz w:val="24"/>
                <w:szCs w:val="24"/>
                <w:lang w:val="en-US" w:eastAsia="zh-CN"/>
              </w:rPr>
              <w:t>供应商的</w:t>
            </w:r>
            <w:r>
              <w:rPr>
                <w:rFonts w:hint="eastAsia" w:ascii="宋体" w:hAnsi="宋体" w:eastAsia="宋体" w:cs="宋体"/>
                <w:sz w:val="24"/>
                <w:szCs w:val="24"/>
                <w:lang w:val="zh-CN"/>
              </w:rPr>
              <w:t>资格要求”逐条对应编写，提供能够证明自身资质能力的相关材料，包括但不限于：营业执照、资质证书、体系认证、财务报表、合同、验收证明、证书等。</w:t>
            </w:r>
          </w:p>
        </w:tc>
      </w:tr>
      <w:tr w14:paraId="2FD3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9015CA6">
            <w:pPr>
              <w:jc w:val="center"/>
            </w:pPr>
            <w:r>
              <w:rPr>
                <w:rFonts w:hint="eastAsia"/>
              </w:rPr>
              <w:t>3.5.1</w:t>
            </w:r>
          </w:p>
        </w:tc>
        <w:tc>
          <w:tcPr>
            <w:tcW w:w="1660" w:type="dxa"/>
            <w:vAlign w:val="center"/>
          </w:tcPr>
          <w:p w14:paraId="268EA16B">
            <w:pPr>
              <w:spacing w:line="360" w:lineRule="exact"/>
            </w:pPr>
            <w:r>
              <w:rPr>
                <w:rFonts w:hint="eastAsia"/>
              </w:rPr>
              <w:t>近3年财务状况的年份要求</w:t>
            </w:r>
          </w:p>
        </w:tc>
        <w:tc>
          <w:tcPr>
            <w:tcW w:w="7151" w:type="dxa"/>
            <w:gridSpan w:val="2"/>
            <w:vAlign w:val="center"/>
          </w:tcPr>
          <w:p w14:paraId="5F11F3B3">
            <w:pPr>
              <w:spacing w:line="340" w:lineRule="exact"/>
              <w:rPr>
                <w:rFonts w:hint="default" w:eastAsiaTheme="minorEastAsia"/>
                <w:lang w:val="en-US" w:eastAsia="zh-CN"/>
              </w:rPr>
            </w:pPr>
            <w:r>
              <w:rPr>
                <w:rFonts w:hint="eastAsia"/>
                <w:lang w:val="en-US" w:eastAsia="zh-CN"/>
              </w:rPr>
              <w:t>2022年、2023年、2024年</w:t>
            </w:r>
          </w:p>
        </w:tc>
      </w:tr>
      <w:tr w14:paraId="505E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B9E9477">
            <w:pPr>
              <w:jc w:val="center"/>
            </w:pPr>
            <w:r>
              <w:rPr>
                <w:rFonts w:hint="eastAsia"/>
              </w:rPr>
              <w:t>3.5.2</w:t>
            </w:r>
          </w:p>
        </w:tc>
        <w:tc>
          <w:tcPr>
            <w:tcW w:w="1660" w:type="dxa"/>
            <w:vAlign w:val="center"/>
          </w:tcPr>
          <w:p w14:paraId="35C2A17F">
            <w:pPr>
              <w:spacing w:line="360" w:lineRule="exact"/>
            </w:pPr>
            <w:r>
              <w:rPr>
                <w:rFonts w:hint="eastAsia"/>
              </w:rPr>
              <w:t>近3年完成的类似项目</w:t>
            </w:r>
          </w:p>
        </w:tc>
        <w:tc>
          <w:tcPr>
            <w:tcW w:w="7151" w:type="dxa"/>
            <w:gridSpan w:val="2"/>
            <w:vAlign w:val="center"/>
          </w:tcPr>
          <w:p w14:paraId="2BBA63FB">
            <w:pPr>
              <w:spacing w:line="340" w:lineRule="exact"/>
            </w:pPr>
            <w:r>
              <w:rPr>
                <w:rFonts w:hint="eastAsia"/>
              </w:rPr>
              <w:t>20</w:t>
            </w:r>
            <w:r>
              <w:rPr>
                <w:rFonts w:hint="eastAsia"/>
                <w:lang w:val="en-US" w:eastAsia="zh-CN"/>
              </w:rPr>
              <w:t>22</w:t>
            </w:r>
            <w:r>
              <w:rPr>
                <w:rFonts w:hint="eastAsia"/>
              </w:rPr>
              <w:t>年</w:t>
            </w:r>
            <w:r>
              <w:rPr>
                <w:rFonts w:hint="eastAsia"/>
                <w:lang w:val="en-US" w:eastAsia="zh-CN"/>
              </w:rPr>
              <w:t>12</w:t>
            </w:r>
            <w:r>
              <w:rPr>
                <w:rFonts w:hint="eastAsia"/>
              </w:rPr>
              <w:t>月</w:t>
            </w:r>
            <w:r>
              <w:rPr>
                <w:rFonts w:hint="eastAsia"/>
                <w:lang w:val="en-US" w:eastAsia="zh-CN"/>
              </w:rPr>
              <w:t>---</w:t>
            </w:r>
            <w:r>
              <w:rPr>
                <w:rFonts w:hint="eastAsia"/>
              </w:rPr>
              <w:t>至今。</w:t>
            </w:r>
          </w:p>
        </w:tc>
      </w:tr>
      <w:tr w14:paraId="749B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AA95047">
            <w:pPr>
              <w:jc w:val="center"/>
            </w:pPr>
            <w:r>
              <w:rPr>
                <w:rFonts w:hint="eastAsia"/>
              </w:rPr>
              <w:t>3.5.3</w:t>
            </w:r>
          </w:p>
        </w:tc>
        <w:tc>
          <w:tcPr>
            <w:tcW w:w="1660" w:type="dxa"/>
            <w:vAlign w:val="center"/>
          </w:tcPr>
          <w:p w14:paraId="5A018A26">
            <w:pPr>
              <w:spacing w:line="360" w:lineRule="exact"/>
            </w:pPr>
            <w:r>
              <w:rPr>
                <w:rFonts w:hint="eastAsia"/>
              </w:rPr>
              <w:t>近3年发生的诉讼及仲裁情况的年份要求</w:t>
            </w:r>
          </w:p>
        </w:tc>
        <w:tc>
          <w:tcPr>
            <w:tcW w:w="7151" w:type="dxa"/>
            <w:gridSpan w:val="2"/>
            <w:vAlign w:val="center"/>
          </w:tcPr>
          <w:p w14:paraId="048DA60F">
            <w:pPr>
              <w:spacing w:line="340" w:lineRule="exact"/>
            </w:pPr>
            <w:r>
              <w:rPr>
                <w:rFonts w:hint="eastAsia"/>
              </w:rPr>
              <w:t>20</w:t>
            </w:r>
            <w:r>
              <w:rPr>
                <w:rFonts w:hint="eastAsia"/>
                <w:lang w:val="en-US" w:eastAsia="zh-CN"/>
              </w:rPr>
              <w:t>22</w:t>
            </w:r>
            <w:r>
              <w:rPr>
                <w:rFonts w:hint="eastAsia"/>
              </w:rPr>
              <w:t>年</w:t>
            </w:r>
            <w:r>
              <w:rPr>
                <w:rFonts w:hint="eastAsia"/>
                <w:lang w:val="en-US" w:eastAsia="zh-CN"/>
              </w:rPr>
              <w:t>12</w:t>
            </w:r>
            <w:r>
              <w:rPr>
                <w:rFonts w:hint="eastAsia"/>
              </w:rPr>
              <w:t>月</w:t>
            </w:r>
            <w:r>
              <w:rPr>
                <w:rFonts w:hint="eastAsia"/>
                <w:lang w:val="en-US" w:eastAsia="zh-CN"/>
              </w:rPr>
              <w:t>---</w:t>
            </w:r>
            <w:r>
              <w:rPr>
                <w:rFonts w:hint="eastAsia"/>
              </w:rPr>
              <w:t>至今。</w:t>
            </w:r>
          </w:p>
        </w:tc>
      </w:tr>
      <w:tr w14:paraId="7CCA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vAlign w:val="center"/>
          </w:tcPr>
          <w:p w14:paraId="25A07B64">
            <w:pPr>
              <w:jc w:val="center"/>
            </w:pPr>
            <w:r>
              <w:rPr>
                <w:rFonts w:hint="eastAsia"/>
              </w:rPr>
              <w:t>3.6.1</w:t>
            </w:r>
          </w:p>
        </w:tc>
        <w:tc>
          <w:tcPr>
            <w:tcW w:w="1660" w:type="dxa"/>
            <w:vAlign w:val="center"/>
          </w:tcPr>
          <w:p w14:paraId="49CD0D89">
            <w:pPr>
              <w:spacing w:line="360" w:lineRule="exact"/>
              <w:jc w:val="center"/>
            </w:pPr>
            <w:r>
              <w:rPr>
                <w:rFonts w:hint="eastAsia"/>
              </w:rPr>
              <w:t>签字或盖章要求</w:t>
            </w:r>
          </w:p>
        </w:tc>
        <w:tc>
          <w:tcPr>
            <w:tcW w:w="7151" w:type="dxa"/>
            <w:gridSpan w:val="2"/>
            <w:vAlign w:val="center"/>
          </w:tcPr>
          <w:p w14:paraId="41123208">
            <w:pPr>
              <w:spacing w:line="340" w:lineRule="exact"/>
            </w:pPr>
            <w:r>
              <w:rPr>
                <w:rFonts w:hint="eastAsia"/>
              </w:rPr>
              <w:t>响应文件应按第五章“响应文件格式及内容”要求进行签字或盖章，否则其响应文件按照无效处理。</w:t>
            </w:r>
          </w:p>
        </w:tc>
      </w:tr>
      <w:tr w14:paraId="2598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vAlign w:val="center"/>
          </w:tcPr>
          <w:p w14:paraId="1C480F28">
            <w:pPr>
              <w:jc w:val="center"/>
            </w:pPr>
            <w:r>
              <w:rPr>
                <w:rFonts w:hint="eastAsia"/>
              </w:rPr>
              <w:t>3.6.2</w:t>
            </w:r>
          </w:p>
        </w:tc>
        <w:tc>
          <w:tcPr>
            <w:tcW w:w="1660" w:type="dxa"/>
            <w:vAlign w:val="center"/>
          </w:tcPr>
          <w:p w14:paraId="3A58577F">
            <w:pPr>
              <w:spacing w:line="360" w:lineRule="exact"/>
              <w:jc w:val="center"/>
            </w:pPr>
            <w:r>
              <w:rPr>
                <w:rFonts w:hint="eastAsia"/>
              </w:rPr>
              <w:t>响应文件</w:t>
            </w:r>
          </w:p>
        </w:tc>
        <w:tc>
          <w:tcPr>
            <w:tcW w:w="7151" w:type="dxa"/>
            <w:gridSpan w:val="2"/>
            <w:vAlign w:val="center"/>
          </w:tcPr>
          <w:p w14:paraId="330D39AC">
            <w:pPr>
              <w:spacing w:line="340" w:lineRule="exact"/>
              <w:rPr>
                <w:b/>
              </w:rPr>
            </w:pPr>
            <w:r>
              <w:rPr>
                <w:rFonts w:hint="eastAsia"/>
              </w:rPr>
              <w:t>上传至济钢集团有限公司阳光购销平台（网址：</w:t>
            </w:r>
            <w:r>
              <w:fldChar w:fldCharType="begin"/>
            </w:r>
            <w:r>
              <w:instrText xml:space="preserve"> HYPERLINK "http://bidding.jigang.com.cn" </w:instrText>
            </w:r>
            <w:r>
              <w:fldChar w:fldCharType="separate"/>
            </w:r>
            <w:r>
              <w:rPr>
                <w:rFonts w:hint="eastAsia"/>
              </w:rPr>
              <w:t>http://bidding.jigang.com.cn</w:t>
            </w:r>
            <w:r>
              <w:rPr>
                <w:rFonts w:hint="eastAsia"/>
              </w:rPr>
              <w:fldChar w:fldCharType="end"/>
            </w:r>
            <w:r>
              <w:rPr>
                <w:rFonts w:hint="eastAsia"/>
              </w:rPr>
              <w:t>/）</w:t>
            </w:r>
          </w:p>
        </w:tc>
      </w:tr>
      <w:tr w14:paraId="5A7D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8" w:type="dxa"/>
            <w:vAlign w:val="center"/>
          </w:tcPr>
          <w:p w14:paraId="3E8167DA">
            <w:pPr>
              <w:jc w:val="center"/>
            </w:pPr>
            <w:r>
              <w:rPr>
                <w:rFonts w:hint="eastAsia"/>
              </w:rPr>
              <w:t>3.6.3</w:t>
            </w:r>
          </w:p>
        </w:tc>
        <w:tc>
          <w:tcPr>
            <w:tcW w:w="1660" w:type="dxa"/>
            <w:vAlign w:val="center"/>
          </w:tcPr>
          <w:p w14:paraId="73DA9644">
            <w:pPr>
              <w:spacing w:line="240" w:lineRule="auto"/>
              <w:ind w:left="135" w:leftChars="-50" w:right="-105" w:rightChars="-50" w:hanging="240" w:hangingChars="100"/>
              <w:jc w:val="center"/>
            </w:pPr>
            <w:r>
              <w:rPr>
                <w:rFonts w:hint="eastAsia"/>
                <w:sz w:val="24"/>
                <w:szCs w:val="24"/>
                <w:highlight w:val="none"/>
              </w:rPr>
              <w:t>纸质</w:t>
            </w:r>
            <w:r>
              <w:rPr>
                <w:rFonts w:hint="eastAsia"/>
                <w:sz w:val="24"/>
                <w:szCs w:val="24"/>
                <w:highlight w:val="none"/>
                <w:lang w:val="en-US" w:eastAsia="zh-CN"/>
              </w:rPr>
              <w:t>响应文件</w:t>
            </w:r>
            <w:r>
              <w:rPr>
                <w:rFonts w:hint="eastAsia"/>
                <w:sz w:val="24"/>
                <w:szCs w:val="24"/>
                <w:highlight w:val="none"/>
              </w:rPr>
              <w:t>装订要求</w:t>
            </w:r>
            <w:r>
              <w:rPr>
                <w:rFonts w:hint="eastAsia"/>
                <w:sz w:val="24"/>
                <w:szCs w:val="24"/>
                <w:highlight w:val="none"/>
                <w:lang w:eastAsia="zh-CN"/>
              </w:rPr>
              <w:t>（</w:t>
            </w:r>
            <w:r>
              <w:rPr>
                <w:rFonts w:hint="eastAsia"/>
                <w:sz w:val="24"/>
                <w:szCs w:val="24"/>
                <w:highlight w:val="none"/>
                <w:lang w:val="en-US" w:eastAsia="zh-CN"/>
              </w:rPr>
              <w:t>成交单位提供纸质版响应文件）</w:t>
            </w:r>
          </w:p>
        </w:tc>
        <w:tc>
          <w:tcPr>
            <w:tcW w:w="7151" w:type="dxa"/>
            <w:gridSpan w:val="2"/>
            <w:vAlign w:val="center"/>
          </w:tcPr>
          <w:p w14:paraId="60CA455E">
            <w:pPr>
              <w:spacing w:line="240" w:lineRule="auto"/>
              <w:jc w:val="left"/>
              <w:rPr>
                <w:sz w:val="24"/>
                <w:szCs w:val="24"/>
                <w:highlight w:val="none"/>
              </w:rPr>
            </w:pPr>
            <w:r>
              <w:rPr>
                <w:rFonts w:hint="eastAsia"/>
                <w:sz w:val="24"/>
                <w:szCs w:val="24"/>
                <w:highlight w:val="none"/>
              </w:rPr>
              <w:t>1、</w:t>
            </w:r>
            <w:r>
              <w:rPr>
                <w:rFonts w:hint="eastAsia"/>
                <w:sz w:val="24"/>
                <w:szCs w:val="24"/>
                <w:highlight w:val="none"/>
                <w:lang w:eastAsia="zh-CN"/>
              </w:rPr>
              <w:t>响应文件</w:t>
            </w:r>
            <w:r>
              <w:rPr>
                <w:rFonts w:hint="eastAsia"/>
                <w:sz w:val="24"/>
                <w:szCs w:val="24"/>
                <w:highlight w:val="none"/>
              </w:rPr>
              <w:t>的正本与副本应分别装订成册。</w:t>
            </w:r>
          </w:p>
          <w:p w14:paraId="2C8BACDA">
            <w:pPr>
              <w:spacing w:line="240" w:lineRule="auto"/>
              <w:jc w:val="left"/>
              <w:rPr>
                <w:sz w:val="24"/>
                <w:szCs w:val="24"/>
                <w:highlight w:val="none"/>
              </w:rPr>
            </w:pPr>
            <w:r>
              <w:rPr>
                <w:rFonts w:hint="eastAsia"/>
                <w:sz w:val="24"/>
                <w:szCs w:val="24"/>
                <w:highlight w:val="none"/>
              </w:rPr>
              <w:t>2、</w:t>
            </w:r>
            <w:r>
              <w:rPr>
                <w:rFonts w:hint="eastAsia"/>
                <w:sz w:val="24"/>
                <w:szCs w:val="24"/>
                <w:highlight w:val="none"/>
                <w:lang w:eastAsia="zh-CN"/>
              </w:rPr>
              <w:t>响应文件</w:t>
            </w:r>
            <w:r>
              <w:rPr>
                <w:rFonts w:hint="eastAsia"/>
                <w:sz w:val="24"/>
                <w:szCs w:val="24"/>
                <w:highlight w:val="none"/>
              </w:rPr>
              <w:t>每册均须采用胶装方式在左侧装订，装订须牢固不易拆散和换页，不得采用活页方式装订。</w:t>
            </w:r>
          </w:p>
          <w:p w14:paraId="288F6045">
            <w:pPr>
              <w:spacing w:line="240" w:lineRule="auto"/>
              <w:ind w:left="135" w:leftChars="-50" w:right="-105" w:rightChars="-50" w:hanging="240" w:hangingChars="100"/>
              <w:jc w:val="left"/>
              <w:rPr>
                <w:rFonts w:hint="eastAsia" w:eastAsia="宋体"/>
                <w:sz w:val="24"/>
                <w:szCs w:val="24"/>
                <w:highlight w:val="none"/>
              </w:rPr>
            </w:pPr>
            <w:r>
              <w:rPr>
                <w:rFonts w:hint="eastAsia"/>
                <w:sz w:val="24"/>
                <w:szCs w:val="24"/>
                <w:highlight w:val="none"/>
              </w:rPr>
              <w:t>3、</w:t>
            </w:r>
            <w:r>
              <w:rPr>
                <w:rFonts w:hint="eastAsia"/>
                <w:sz w:val="24"/>
                <w:szCs w:val="24"/>
                <w:highlight w:val="none"/>
                <w:lang w:eastAsia="zh-CN"/>
              </w:rPr>
              <w:t>响应文件</w:t>
            </w:r>
            <w:r>
              <w:rPr>
                <w:rFonts w:hint="eastAsia"/>
                <w:sz w:val="24"/>
                <w:szCs w:val="24"/>
                <w:highlight w:val="none"/>
              </w:rPr>
              <w:t>正本和副本的封面上应清楚地标记“正本”或“副本”</w:t>
            </w:r>
            <w:r>
              <w:rPr>
                <w:rFonts w:hint="eastAsia" w:eastAsia="宋体"/>
                <w:sz w:val="24"/>
                <w:szCs w:val="24"/>
                <w:highlight w:val="none"/>
              </w:rPr>
              <w:t>的字样；正本和副本如有不一致之处，以正本为准。</w:t>
            </w:r>
          </w:p>
          <w:p w14:paraId="7DBB0C13">
            <w:pPr>
              <w:spacing w:line="240" w:lineRule="auto"/>
              <w:ind w:left="135" w:leftChars="-50" w:right="-105" w:rightChars="-50" w:hanging="240" w:hangingChars="100"/>
              <w:jc w:val="left"/>
            </w:pPr>
            <w:r>
              <w:rPr>
                <w:rFonts w:hint="eastAsia" w:eastAsia="宋体"/>
                <w:sz w:val="24"/>
                <w:szCs w:val="24"/>
                <w:highlight w:val="none"/>
                <w:lang w:val="en-US" w:eastAsia="zh-CN"/>
              </w:rPr>
              <w:t>4、成交单位收到成交通知书后3日内，需将</w:t>
            </w:r>
            <w:r>
              <w:rPr>
                <w:rFonts w:hint="eastAsia" w:eastAsia="宋体"/>
                <w:sz w:val="24"/>
                <w:szCs w:val="24"/>
                <w:highlight w:val="none"/>
              </w:rPr>
              <w:t>纸质</w:t>
            </w:r>
            <w:r>
              <w:rPr>
                <w:rFonts w:hint="eastAsia" w:eastAsia="宋体"/>
                <w:sz w:val="24"/>
                <w:szCs w:val="24"/>
                <w:highlight w:val="none"/>
                <w:lang w:eastAsia="zh-CN"/>
              </w:rPr>
              <w:t>响应文件</w:t>
            </w:r>
            <w:r>
              <w:rPr>
                <w:rFonts w:hint="eastAsia" w:eastAsia="宋体"/>
                <w:sz w:val="24"/>
                <w:szCs w:val="24"/>
                <w:highlight w:val="none"/>
                <w:lang w:val="en-US" w:eastAsia="zh-CN"/>
              </w:rPr>
              <w:t>邮寄到山东省济南市官庄街道青野村东，山东济钢环保新材料有限公司，收件人：史工，收件人手机号：18615514537</w:t>
            </w:r>
          </w:p>
        </w:tc>
      </w:tr>
      <w:tr w14:paraId="2AEB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D83A9B1">
            <w:pPr>
              <w:jc w:val="center"/>
            </w:pPr>
            <w:r>
              <w:rPr>
                <w:rFonts w:hint="eastAsia"/>
              </w:rPr>
              <w:t>3.6.4</w:t>
            </w:r>
          </w:p>
        </w:tc>
        <w:tc>
          <w:tcPr>
            <w:tcW w:w="1660" w:type="dxa"/>
            <w:vAlign w:val="center"/>
          </w:tcPr>
          <w:p w14:paraId="4B5048F1">
            <w:pPr>
              <w:spacing w:line="360" w:lineRule="exact"/>
              <w:ind w:left="210" w:hanging="210" w:hangingChars="100"/>
              <w:jc w:val="center"/>
            </w:pPr>
            <w:r>
              <w:rPr>
                <w:rFonts w:hint="eastAsia"/>
              </w:rPr>
              <w:t>电子文档</w:t>
            </w:r>
          </w:p>
        </w:tc>
        <w:tc>
          <w:tcPr>
            <w:tcW w:w="7151" w:type="dxa"/>
            <w:gridSpan w:val="2"/>
            <w:vAlign w:val="center"/>
          </w:tcPr>
          <w:p w14:paraId="4A98F837">
            <w:pPr>
              <w:spacing w:line="340" w:lineRule="exact"/>
              <w:rPr>
                <w:bCs/>
              </w:rPr>
            </w:pPr>
            <w:r>
              <w:rPr>
                <w:rFonts w:hint="eastAsia"/>
                <w:bCs/>
              </w:rPr>
              <w:t>详见谈判须知正文3.7.6条款</w:t>
            </w:r>
          </w:p>
        </w:tc>
      </w:tr>
      <w:tr w14:paraId="7D38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1390FEFB">
            <w:pPr>
              <w:jc w:val="center"/>
              <w:rPr>
                <w:color w:val="000000"/>
              </w:rPr>
            </w:pPr>
            <w:r>
              <w:rPr>
                <w:rFonts w:hint="eastAsia"/>
                <w:color w:val="000000"/>
              </w:rPr>
              <w:t>4.1</w:t>
            </w:r>
          </w:p>
        </w:tc>
        <w:tc>
          <w:tcPr>
            <w:tcW w:w="1660" w:type="dxa"/>
            <w:vAlign w:val="center"/>
          </w:tcPr>
          <w:p w14:paraId="1BF6E6B0">
            <w:pPr>
              <w:spacing w:line="360" w:lineRule="exact"/>
              <w:jc w:val="center"/>
              <w:rPr>
                <w:color w:val="000000"/>
              </w:rPr>
            </w:pPr>
            <w:r>
              <w:rPr>
                <w:rFonts w:hint="eastAsia" w:cs="仿宋"/>
              </w:rPr>
              <w:t>上传响应文件的截止时间</w:t>
            </w:r>
          </w:p>
        </w:tc>
        <w:tc>
          <w:tcPr>
            <w:tcW w:w="7151" w:type="dxa"/>
            <w:gridSpan w:val="2"/>
            <w:vAlign w:val="center"/>
          </w:tcPr>
          <w:p w14:paraId="496B2B7A">
            <w:pPr>
              <w:spacing w:line="340" w:lineRule="exact"/>
              <w:rPr>
                <w:rFonts w:hint="default"/>
                <w:color w:val="000000"/>
                <w:lang w:val="en-US"/>
              </w:rPr>
            </w:pPr>
            <w:r>
              <w:rPr>
                <w:rFonts w:hint="eastAsia"/>
                <w:color w:val="000000"/>
                <w:lang w:val="en-US" w:eastAsia="zh-CN"/>
              </w:rPr>
              <w:t>2025年12月10日下午14:00</w:t>
            </w:r>
          </w:p>
        </w:tc>
      </w:tr>
      <w:tr w14:paraId="7CED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35F046AA">
            <w:pPr>
              <w:jc w:val="center"/>
              <w:rPr>
                <w:color w:val="000000"/>
              </w:rPr>
            </w:pPr>
            <w:r>
              <w:rPr>
                <w:rFonts w:hint="eastAsia"/>
                <w:color w:val="000000"/>
              </w:rPr>
              <w:t>5.1</w:t>
            </w:r>
          </w:p>
        </w:tc>
        <w:tc>
          <w:tcPr>
            <w:tcW w:w="1660" w:type="dxa"/>
            <w:vAlign w:val="center"/>
          </w:tcPr>
          <w:p w14:paraId="00395C05">
            <w:pPr>
              <w:spacing w:line="360" w:lineRule="exact"/>
              <w:jc w:val="center"/>
              <w:rPr>
                <w:color w:val="000000"/>
              </w:rPr>
            </w:pPr>
            <w:r>
              <w:rPr>
                <w:rFonts w:hint="eastAsia"/>
                <w:color w:val="000000"/>
              </w:rPr>
              <w:t>谈判时间和</w:t>
            </w:r>
          </w:p>
          <w:p w14:paraId="2C905E3C">
            <w:pPr>
              <w:spacing w:line="360" w:lineRule="exact"/>
              <w:jc w:val="center"/>
              <w:rPr>
                <w:color w:val="000000"/>
              </w:rPr>
            </w:pPr>
            <w:r>
              <w:rPr>
                <w:rFonts w:hint="eastAsia"/>
                <w:color w:val="000000"/>
              </w:rPr>
              <w:t>方式</w:t>
            </w:r>
          </w:p>
        </w:tc>
        <w:tc>
          <w:tcPr>
            <w:tcW w:w="7151" w:type="dxa"/>
            <w:gridSpan w:val="2"/>
            <w:vAlign w:val="center"/>
          </w:tcPr>
          <w:p w14:paraId="7205B74F">
            <w:pPr>
              <w:spacing w:line="340" w:lineRule="exact"/>
              <w:rPr>
                <w:color w:val="000000"/>
              </w:rPr>
            </w:pPr>
            <w:r>
              <w:rPr>
                <w:rFonts w:hint="eastAsia"/>
                <w:color w:val="000000"/>
              </w:rPr>
              <w:t>谈判时间：</w:t>
            </w:r>
            <w:r>
              <w:rPr>
                <w:rFonts w:hint="eastAsia"/>
                <w:color w:val="000000"/>
                <w:lang w:val="en-US" w:eastAsia="zh-CN"/>
              </w:rPr>
              <w:t>2025年12月10日下午14:00</w:t>
            </w:r>
          </w:p>
          <w:p w14:paraId="4044391D">
            <w:pPr>
              <w:spacing w:line="340" w:lineRule="exact"/>
              <w:rPr>
                <w:color w:val="000000"/>
              </w:rPr>
            </w:pPr>
            <w:r>
              <w:rPr>
                <w:rFonts w:hint="eastAsia"/>
                <w:color w:val="000000"/>
              </w:rPr>
              <w:t>谈判方式：</w:t>
            </w:r>
            <w:r>
              <w:rPr>
                <w:rFonts w:ascii="Times New Roman" w:hAnsi="Times New Roman"/>
                <w:color w:val="000000"/>
              </w:rPr>
              <w:t>网上</w:t>
            </w:r>
            <w:r>
              <w:rPr>
                <w:rFonts w:hint="eastAsia" w:ascii="Times New Roman" w:hAnsi="Times New Roman"/>
                <w:color w:val="000000"/>
              </w:rPr>
              <w:t>谈判</w:t>
            </w:r>
            <w:r>
              <w:rPr>
                <w:rFonts w:ascii="Times New Roman" w:hAnsi="Times New Roman"/>
                <w:color w:val="000000"/>
              </w:rPr>
              <w:t>，</w:t>
            </w:r>
            <w:r>
              <w:rPr>
                <w:rFonts w:hint="eastAsia" w:ascii="Times New Roman" w:hAnsi="Times New Roman"/>
                <w:color w:val="000000"/>
              </w:rPr>
              <w:t>谈判</w:t>
            </w:r>
            <w:r>
              <w:rPr>
                <w:rFonts w:ascii="Times New Roman" w:hAnsi="Times New Roman"/>
                <w:color w:val="000000"/>
              </w:rPr>
              <w:t>时无需</w:t>
            </w:r>
            <w:r>
              <w:rPr>
                <w:rFonts w:hint="eastAsia" w:ascii="Times New Roman" w:hAnsi="Times New Roman"/>
                <w:color w:val="000000"/>
              </w:rPr>
              <w:t>供应商</w:t>
            </w:r>
            <w:r>
              <w:rPr>
                <w:rFonts w:ascii="Times New Roman" w:hAnsi="Times New Roman"/>
                <w:color w:val="000000"/>
              </w:rPr>
              <w:t>到达现场。</w:t>
            </w:r>
          </w:p>
        </w:tc>
      </w:tr>
      <w:tr w14:paraId="4C06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C5B00A2">
            <w:pPr>
              <w:jc w:val="center"/>
            </w:pPr>
            <w:r>
              <w:rPr>
                <w:rFonts w:hint="eastAsia"/>
              </w:rPr>
              <w:t>6.1</w:t>
            </w:r>
          </w:p>
        </w:tc>
        <w:tc>
          <w:tcPr>
            <w:tcW w:w="1660" w:type="dxa"/>
            <w:vAlign w:val="center"/>
          </w:tcPr>
          <w:p w14:paraId="42D7D730">
            <w:pPr>
              <w:spacing w:line="360" w:lineRule="exact"/>
              <w:jc w:val="center"/>
            </w:pPr>
            <w:r>
              <w:rPr>
                <w:rFonts w:hint="eastAsia"/>
              </w:rPr>
              <w:t>评审方法</w:t>
            </w:r>
          </w:p>
        </w:tc>
        <w:tc>
          <w:tcPr>
            <w:tcW w:w="7151" w:type="dxa"/>
            <w:gridSpan w:val="2"/>
            <w:vAlign w:val="center"/>
          </w:tcPr>
          <w:p w14:paraId="44E2E45F">
            <w:pPr>
              <w:spacing w:line="340" w:lineRule="exact"/>
              <w:rPr>
                <w:bCs/>
              </w:rPr>
            </w:pPr>
            <w:r>
              <w:rPr>
                <w:rFonts w:hint="eastAsia" w:cs="宋体"/>
                <w:bCs/>
                <w:sz w:val="24"/>
                <w:lang w:val="en-US" w:eastAsia="zh-CN"/>
              </w:rPr>
              <w:t>综合评估法</w:t>
            </w:r>
          </w:p>
        </w:tc>
      </w:tr>
      <w:tr w14:paraId="7A03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8" w:type="dxa"/>
            <w:vAlign w:val="center"/>
          </w:tcPr>
          <w:p w14:paraId="4F4BFC7B">
            <w:pPr>
              <w:jc w:val="center"/>
            </w:pPr>
            <w:r>
              <w:rPr>
                <w:rFonts w:hint="eastAsia"/>
              </w:rPr>
              <w:t>7.1</w:t>
            </w:r>
          </w:p>
        </w:tc>
        <w:tc>
          <w:tcPr>
            <w:tcW w:w="1660" w:type="dxa"/>
            <w:vAlign w:val="center"/>
          </w:tcPr>
          <w:p w14:paraId="17CAE450">
            <w:pPr>
              <w:spacing w:line="360" w:lineRule="exact"/>
              <w:jc w:val="center"/>
            </w:pPr>
            <w:r>
              <w:rPr>
                <w:rFonts w:hint="eastAsia"/>
              </w:rPr>
              <w:t>履约</w:t>
            </w:r>
            <w:r>
              <w:rPr>
                <w:rFonts w:hint="eastAsia"/>
                <w:bCs/>
              </w:rPr>
              <w:t>保证金</w:t>
            </w:r>
          </w:p>
        </w:tc>
        <w:tc>
          <w:tcPr>
            <w:tcW w:w="7151" w:type="dxa"/>
            <w:gridSpan w:val="2"/>
            <w:vAlign w:val="center"/>
          </w:tcPr>
          <w:p w14:paraId="79E02D06">
            <w:pPr>
              <w:spacing w:line="340" w:lineRule="exact"/>
              <w:rPr>
                <w:rFonts w:hint="default" w:eastAsiaTheme="minorEastAsia"/>
                <w:color w:val="FF0000"/>
                <w:lang w:val="en-US" w:eastAsia="zh-CN"/>
              </w:rPr>
            </w:pPr>
            <w:r>
              <w:rPr>
                <w:rFonts w:hint="eastAsia"/>
                <w:color w:val="auto"/>
                <w:lang w:val="en-US" w:eastAsia="zh-CN"/>
              </w:rPr>
              <w:t>无</w:t>
            </w:r>
          </w:p>
        </w:tc>
      </w:tr>
      <w:tr w14:paraId="06B6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8" w:type="dxa"/>
            <w:vAlign w:val="center"/>
          </w:tcPr>
          <w:p w14:paraId="17C7A21E">
            <w:pPr>
              <w:jc w:val="center"/>
            </w:pPr>
            <w:r>
              <w:rPr>
                <w:rFonts w:hint="eastAsia"/>
              </w:rPr>
              <w:t>7.2</w:t>
            </w:r>
          </w:p>
        </w:tc>
        <w:tc>
          <w:tcPr>
            <w:tcW w:w="1660" w:type="dxa"/>
            <w:vAlign w:val="center"/>
          </w:tcPr>
          <w:p w14:paraId="29B45912">
            <w:pPr>
              <w:spacing w:line="300" w:lineRule="auto"/>
              <w:jc w:val="center"/>
              <w:rPr>
                <w:rFonts w:ascii="Times New Roman"/>
                <w:color w:val="000000"/>
              </w:rPr>
            </w:pPr>
            <w:r>
              <w:rPr>
                <w:rFonts w:ascii="Times New Roman"/>
                <w:color w:val="000000"/>
              </w:rPr>
              <w:t>安全风险</w:t>
            </w:r>
          </w:p>
          <w:p w14:paraId="321420A4">
            <w:pPr>
              <w:spacing w:line="300" w:lineRule="auto"/>
              <w:jc w:val="center"/>
            </w:pPr>
            <w:r>
              <w:rPr>
                <w:rFonts w:ascii="Times New Roman"/>
                <w:color w:val="000000"/>
              </w:rPr>
              <w:t>抵押金</w:t>
            </w:r>
          </w:p>
        </w:tc>
        <w:tc>
          <w:tcPr>
            <w:tcW w:w="7151" w:type="dxa"/>
            <w:gridSpan w:val="2"/>
            <w:vAlign w:val="center"/>
          </w:tcPr>
          <w:p w14:paraId="5C76A70D">
            <w:pPr>
              <w:spacing w:line="300" w:lineRule="auto"/>
              <w:rPr>
                <w:rFonts w:cs="仿宋"/>
              </w:rPr>
            </w:pPr>
            <w:r>
              <w:rPr>
                <w:rFonts w:ascii="Times New Roman"/>
                <w:color w:val="000000"/>
              </w:rPr>
              <w:t>按照</w:t>
            </w:r>
            <w:r>
              <w:rPr>
                <w:rFonts w:hint="eastAsia" w:ascii="Times New Roman"/>
                <w:color w:val="000000"/>
                <w:lang w:val="en-US" w:eastAsia="zh-CN"/>
              </w:rPr>
              <w:t>成交</w:t>
            </w:r>
            <w:r>
              <w:rPr>
                <w:rFonts w:ascii="Times New Roman"/>
                <w:color w:val="000000"/>
              </w:rPr>
              <w:t>金额的</w:t>
            </w:r>
            <w:r>
              <w:rPr>
                <w:rFonts w:hint="eastAsia" w:ascii="Times New Roman"/>
                <w:color w:val="000000"/>
              </w:rPr>
              <w:t>2</w:t>
            </w:r>
            <w:r>
              <w:rPr>
                <w:rFonts w:ascii="Times New Roman"/>
                <w:color w:val="000000"/>
              </w:rPr>
              <w:t>%</w:t>
            </w:r>
            <w:r>
              <w:rPr>
                <w:rFonts w:hint="eastAsia" w:ascii="Times New Roman"/>
                <w:color w:val="000000"/>
              </w:rPr>
              <w:t>缴纳</w:t>
            </w:r>
            <w:r>
              <w:rPr>
                <w:rFonts w:ascii="Times New Roman"/>
                <w:color w:val="000000"/>
              </w:rPr>
              <w:t>安全风险抵押金（银行保函、支票                                                                                                                                                                                                                                                                                                                                                                                                                                                                                                                                                                                                                                                                                                                                                                                                                                                                                                                                                                                                                                                                                                                                                                                                                                                                                                                                                                                                                                                                                                                                                                                                                                                                                                                                                                                                                                                                                                                                                                                                                                                                                                                                                                                                                                                                                    银行汇票，不收承兑汇票）。施工过程中</w:t>
            </w:r>
            <w:r>
              <w:rPr>
                <w:rFonts w:hint="eastAsia" w:ascii="Times New Roman"/>
                <w:color w:val="000000"/>
              </w:rPr>
              <w:t>，</w:t>
            </w:r>
            <w:r>
              <w:rPr>
                <w:rFonts w:hint="eastAsia" w:ascii="Times New Roman"/>
                <w:color w:val="000000"/>
                <w:lang w:val="en-US" w:eastAsia="zh-CN"/>
              </w:rPr>
              <w:t>成交单位</w:t>
            </w:r>
            <w:r>
              <w:rPr>
                <w:rFonts w:ascii="Times New Roman"/>
                <w:color w:val="000000"/>
              </w:rPr>
              <w:t>违反</w:t>
            </w:r>
            <w:r>
              <w:rPr>
                <w:rFonts w:hint="eastAsia" w:ascii="Times New Roman"/>
                <w:color w:val="000000"/>
                <w:lang w:val="en-US" w:eastAsia="zh-CN"/>
              </w:rPr>
              <w:t>采购</w:t>
            </w:r>
            <w:r>
              <w:rPr>
                <w:rFonts w:ascii="Times New Roman"/>
                <w:color w:val="000000"/>
              </w:rPr>
              <w:t>人安全管理规定</w:t>
            </w:r>
            <w:r>
              <w:rPr>
                <w:rFonts w:hint="eastAsia" w:ascii="Times New Roman"/>
                <w:color w:val="000000"/>
              </w:rPr>
              <w:t>，</w:t>
            </w:r>
            <w:r>
              <w:rPr>
                <w:rFonts w:ascii="Times New Roman"/>
                <w:color w:val="000000"/>
              </w:rPr>
              <w:t>按照相应标准处罚</w:t>
            </w:r>
            <w:r>
              <w:rPr>
                <w:rFonts w:hint="eastAsia" w:ascii="Times New Roman"/>
                <w:color w:val="000000"/>
              </w:rPr>
              <w:t>。</w:t>
            </w:r>
            <w:r>
              <w:rPr>
                <w:rFonts w:ascii="Times New Roman"/>
                <w:color w:val="000000"/>
              </w:rPr>
              <w:t>履约完毕，</w:t>
            </w:r>
            <w:r>
              <w:rPr>
                <w:rFonts w:hint="eastAsia" w:ascii="Times New Roman"/>
                <w:color w:val="000000"/>
              </w:rPr>
              <w:t>剩余</w:t>
            </w:r>
            <w:r>
              <w:rPr>
                <w:rFonts w:ascii="Times New Roman"/>
                <w:color w:val="000000"/>
              </w:rPr>
              <w:t>部分无息返还。</w:t>
            </w:r>
          </w:p>
        </w:tc>
      </w:tr>
      <w:tr w14:paraId="4ADF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83" w:hRule="atLeast"/>
          <w:jc w:val="center"/>
        </w:trPr>
        <w:tc>
          <w:tcPr>
            <w:tcW w:w="958" w:type="dxa"/>
            <w:vAlign w:val="center"/>
          </w:tcPr>
          <w:p w14:paraId="1A289717">
            <w:pPr>
              <w:jc w:val="center"/>
            </w:pPr>
            <w:r>
              <w:rPr>
                <w:rFonts w:hint="eastAsia"/>
              </w:rPr>
              <w:t>8.1</w:t>
            </w:r>
          </w:p>
        </w:tc>
        <w:tc>
          <w:tcPr>
            <w:tcW w:w="1660" w:type="dxa"/>
            <w:vAlign w:val="center"/>
          </w:tcPr>
          <w:p w14:paraId="42325EF7">
            <w:pPr>
              <w:spacing w:line="360" w:lineRule="exact"/>
              <w:jc w:val="center"/>
            </w:pPr>
            <w:r>
              <w:rPr>
                <w:rFonts w:hint="eastAsia"/>
              </w:rPr>
              <w:t>重新谈判</w:t>
            </w:r>
          </w:p>
        </w:tc>
        <w:tc>
          <w:tcPr>
            <w:tcW w:w="7138" w:type="dxa"/>
            <w:vAlign w:val="center"/>
          </w:tcPr>
          <w:p w14:paraId="7E2C07F2">
            <w:pPr>
              <w:spacing w:line="340" w:lineRule="exact"/>
              <w:rPr>
                <w:rFonts w:cs="仿宋"/>
              </w:rPr>
            </w:pPr>
            <w:r>
              <w:rPr>
                <w:rFonts w:hint="eastAsia" w:cs="仿宋"/>
              </w:rPr>
              <w:t>有下列情形之一的，采购人将重新谈判</w:t>
            </w:r>
          </w:p>
          <w:p w14:paraId="3C5259E2">
            <w:pPr>
              <w:spacing w:line="340" w:lineRule="exact"/>
              <w:rPr>
                <w:rFonts w:cs="仿宋"/>
              </w:rPr>
            </w:pPr>
            <w:r>
              <w:rPr>
                <w:rFonts w:hint="eastAsia" w:cs="仿宋"/>
              </w:rPr>
              <w:t>1.截至到</w:t>
            </w:r>
            <w:r>
              <w:rPr>
                <w:rFonts w:hint="eastAsia"/>
              </w:rPr>
              <w:t>谈判开始时间</w:t>
            </w:r>
            <w:r>
              <w:rPr>
                <w:rFonts w:hint="eastAsia" w:cs="仿宋"/>
              </w:rPr>
              <w:t>，提交响应文件的供应商少于3个的；</w:t>
            </w:r>
          </w:p>
          <w:p w14:paraId="30D7881A">
            <w:pPr>
              <w:spacing w:line="340" w:lineRule="exact"/>
              <w:rPr>
                <w:rFonts w:cs="仿宋"/>
              </w:rPr>
            </w:pPr>
            <w:r>
              <w:rPr>
                <w:rFonts w:hint="eastAsia" w:cs="仿宋"/>
              </w:rPr>
              <w:t>2.经评审委员会评审，否决部分供应商响应文件后少于3个，缺乏竞争性的；</w:t>
            </w:r>
          </w:p>
          <w:p w14:paraId="33492DDA">
            <w:pPr>
              <w:spacing w:line="340" w:lineRule="exact"/>
            </w:pPr>
            <w:r>
              <w:rPr>
                <w:rFonts w:hint="eastAsia" w:cs="仿宋"/>
              </w:rPr>
              <w:t>3.经评审委员会评审否决所有响应文件的。</w:t>
            </w:r>
          </w:p>
        </w:tc>
      </w:tr>
      <w:tr w14:paraId="593D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vAlign w:val="center"/>
          </w:tcPr>
          <w:p w14:paraId="748757B2">
            <w:pPr>
              <w:jc w:val="center"/>
            </w:pPr>
            <w:r>
              <w:rPr>
                <w:rFonts w:hint="eastAsia"/>
              </w:rPr>
              <w:t>9.1</w:t>
            </w:r>
          </w:p>
        </w:tc>
        <w:tc>
          <w:tcPr>
            <w:tcW w:w="8811" w:type="dxa"/>
            <w:gridSpan w:val="3"/>
            <w:vAlign w:val="center"/>
          </w:tcPr>
          <w:p w14:paraId="3F8A7431">
            <w:pPr>
              <w:spacing w:line="340" w:lineRule="exact"/>
              <w:rPr>
                <w:bCs/>
              </w:rPr>
            </w:pPr>
            <w:r>
              <w:rPr>
                <w:rFonts w:hint="eastAsia"/>
                <w:bCs/>
              </w:rPr>
              <w:t>在任何评审环节中，需评审委员会就某项定性的评审结论做出表决的，由评审委员会全体成员按照少数服从多数的原则，以记名投票方式表决。</w:t>
            </w:r>
          </w:p>
        </w:tc>
      </w:tr>
      <w:tr w14:paraId="39CF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vAlign w:val="center"/>
          </w:tcPr>
          <w:p w14:paraId="05A7BF6E">
            <w:pPr>
              <w:jc w:val="center"/>
            </w:pPr>
            <w:r>
              <w:rPr>
                <w:rFonts w:hint="eastAsia"/>
              </w:rPr>
              <w:t>9.2</w:t>
            </w:r>
          </w:p>
        </w:tc>
        <w:tc>
          <w:tcPr>
            <w:tcW w:w="8811" w:type="dxa"/>
            <w:gridSpan w:val="3"/>
            <w:vAlign w:val="center"/>
          </w:tcPr>
          <w:p w14:paraId="25131FF9">
            <w:pPr>
              <w:spacing w:line="340" w:lineRule="exact"/>
            </w:pPr>
            <w:r>
              <w:rPr>
                <w:rFonts w:hint="eastAsia"/>
              </w:rPr>
              <w:t>供应商认为谈判文件中有限制、排斥供应商情形的，应当在谈判开始时间2日前向采购人书面提出，未在规定时间内提出异议的，视为对谈判文件无异议。</w:t>
            </w:r>
          </w:p>
        </w:tc>
      </w:tr>
    </w:tbl>
    <w:p w14:paraId="1FAEDF1A"/>
    <w:p w14:paraId="533878D3">
      <w:pPr>
        <w:pStyle w:val="12"/>
        <w:ind w:firstLine="480"/>
      </w:pPr>
    </w:p>
    <w:p w14:paraId="76316B16">
      <w:pPr>
        <w:pStyle w:val="29"/>
        <w:spacing w:before="156"/>
        <w:rPr>
          <w:sz w:val="32"/>
          <w:szCs w:val="32"/>
        </w:rPr>
      </w:pPr>
      <w:bookmarkStart w:id="3" w:name="_Toc446434287"/>
      <w:bookmarkStart w:id="4" w:name="_Toc269310918"/>
      <w:bookmarkStart w:id="5" w:name="_Toc312072226"/>
    </w:p>
    <w:p w14:paraId="29E8A6F0">
      <w:pPr>
        <w:pStyle w:val="29"/>
        <w:spacing w:before="156"/>
        <w:rPr>
          <w:sz w:val="32"/>
          <w:szCs w:val="32"/>
        </w:rPr>
      </w:pPr>
    </w:p>
    <w:bookmarkEnd w:id="3"/>
    <w:bookmarkEnd w:id="4"/>
    <w:bookmarkEnd w:id="5"/>
    <w:p w14:paraId="26F176B6">
      <w:pPr>
        <w:pStyle w:val="29"/>
        <w:rPr>
          <w:rStyle w:val="19"/>
          <w:b/>
          <w:bCs w:val="0"/>
          <w:sz w:val="32"/>
          <w:szCs w:val="32"/>
        </w:rPr>
      </w:pPr>
      <w:bookmarkStart w:id="6" w:name="_Toc4793"/>
      <w:bookmarkStart w:id="7" w:name="_Toc8764"/>
      <w:bookmarkStart w:id="8" w:name="_Toc312072286"/>
      <w:bookmarkStart w:id="9" w:name="_Toc417245049"/>
      <w:bookmarkStart w:id="10" w:name="_Toc446434343"/>
      <w:r>
        <w:rPr>
          <w:rFonts w:hint="eastAsia"/>
          <w:b/>
          <w:bCs w:val="0"/>
          <w:sz w:val="32"/>
          <w:szCs w:val="32"/>
          <w:lang w:val="en-US" w:eastAsia="zh-CN"/>
        </w:rPr>
        <w:t>谈判</w:t>
      </w:r>
      <w:r>
        <w:rPr>
          <w:rFonts w:hint="eastAsia"/>
          <w:b/>
          <w:bCs w:val="0"/>
          <w:sz w:val="32"/>
          <w:szCs w:val="32"/>
        </w:rPr>
        <w:t>须知正文部分</w:t>
      </w:r>
      <w:bookmarkEnd w:id="6"/>
      <w:bookmarkEnd w:id="7"/>
    </w:p>
    <w:p w14:paraId="1495D022">
      <w:pPr>
        <w:pStyle w:val="30"/>
        <w:rPr>
          <w:rStyle w:val="19"/>
          <w:b w:val="0"/>
          <w:bCs w:val="0"/>
        </w:rPr>
      </w:pPr>
      <w:bookmarkStart w:id="11" w:name="_Toc506105818"/>
      <w:bookmarkStart w:id="12" w:name="_Toc507936013"/>
      <w:r>
        <w:rPr>
          <w:rStyle w:val="19"/>
          <w:rFonts w:hint="eastAsia"/>
          <w:b w:val="0"/>
          <w:bCs w:val="0"/>
        </w:rPr>
        <w:t>1.总则</w:t>
      </w:r>
      <w:bookmarkEnd w:id="11"/>
      <w:bookmarkEnd w:id="12"/>
    </w:p>
    <w:p w14:paraId="7C7BB10A">
      <w:pPr>
        <w:pStyle w:val="32"/>
      </w:pPr>
      <w:bookmarkStart w:id="13" w:name="_Toc507936014"/>
      <w:bookmarkStart w:id="14" w:name="_Toc506105819"/>
      <w:r>
        <w:rPr>
          <w:rFonts w:hint="eastAsia"/>
        </w:rPr>
        <w:t>1.1 项目概况</w:t>
      </w:r>
      <w:bookmarkEnd w:id="13"/>
      <w:bookmarkEnd w:id="14"/>
    </w:p>
    <w:p w14:paraId="0476B97F">
      <w:pPr>
        <w:pStyle w:val="33"/>
        <w:keepNext w:val="0"/>
        <w:keepLines w:val="0"/>
        <w:spacing w:before="0" w:line="360" w:lineRule="auto"/>
        <w:ind w:firstLine="480" w:firstLineChars="200"/>
        <w:rPr>
          <w:szCs w:val="28"/>
        </w:rPr>
      </w:pPr>
      <w:r>
        <w:rPr>
          <w:rFonts w:hint="eastAsia" w:ascii="宋体" w:hAnsi="宋体" w:cs="仿宋"/>
          <w:sz w:val="24"/>
        </w:rPr>
        <w:t>1.1.</w:t>
      </w:r>
      <w:r>
        <w:rPr>
          <w:rFonts w:hint="eastAsia" w:ascii="宋体" w:hAnsi="宋体" w:cs="仿宋"/>
          <w:sz w:val="24"/>
          <w:lang w:eastAsia="zh-CN"/>
        </w:rPr>
        <w:t>1</w:t>
      </w:r>
      <w:r>
        <w:rPr>
          <w:rFonts w:hint="eastAsia" w:ascii="宋体" w:hAnsi="宋体" w:cs="仿宋"/>
          <w:sz w:val="24"/>
        </w:rPr>
        <w:t xml:space="preserve"> </w:t>
      </w:r>
      <w:r>
        <w:rPr>
          <w:rFonts w:hint="eastAsia" w:ascii="宋体" w:hAnsi="宋体" w:eastAsia="宋体" w:cs="仿宋"/>
          <w:kern w:val="2"/>
          <w:sz w:val="24"/>
          <w:szCs w:val="24"/>
          <w:lang w:val="en-US" w:eastAsia="zh-CN"/>
        </w:rPr>
        <w:t>采购人：</w:t>
      </w:r>
      <w:r>
        <w:rPr>
          <w:rFonts w:hint="eastAsia" w:ascii="宋体" w:hAnsi="宋体" w:eastAsia="宋体" w:cs="仿宋"/>
          <w:b w:val="0"/>
          <w:bCs w:val="0"/>
          <w:sz w:val="24"/>
          <w:szCs w:val="24"/>
          <w:lang w:val="en-US" w:eastAsia="zh-CN" w:bidi="ar-SA"/>
        </w:rPr>
        <w:t>详见谈判</w:t>
      </w:r>
      <w:r>
        <w:rPr>
          <w:rFonts w:hint="eastAsia" w:ascii="宋体" w:hAnsi="宋体" w:eastAsia="宋体" w:cs="仿宋"/>
          <w:kern w:val="2"/>
          <w:sz w:val="24"/>
          <w:szCs w:val="24"/>
          <w:lang w:val="en-US" w:eastAsia="zh-CN"/>
        </w:rPr>
        <w:t>须知前附表</w:t>
      </w:r>
    </w:p>
    <w:p w14:paraId="00849FBE">
      <w:pPr>
        <w:spacing w:line="360" w:lineRule="auto"/>
        <w:ind w:firstLine="480" w:firstLineChars="200"/>
        <w:rPr>
          <w:rFonts w:hint="eastAsia" w:ascii="宋体" w:hAnsi="宋体" w:cs="仿宋"/>
          <w:sz w:val="24"/>
        </w:rPr>
      </w:pPr>
      <w:r>
        <w:rPr>
          <w:rFonts w:hint="eastAsia" w:ascii="宋体" w:hAnsi="宋体" w:cs="仿宋"/>
          <w:sz w:val="24"/>
        </w:rPr>
        <w:t xml:space="preserve">1.1.2 </w:t>
      </w:r>
      <w:r>
        <w:rPr>
          <w:rFonts w:hint="eastAsia" w:cs="仿宋"/>
          <w:sz w:val="24"/>
          <w:lang w:val="en-US" w:eastAsia="zh-CN"/>
        </w:rPr>
        <w:t>采购</w:t>
      </w:r>
      <w:r>
        <w:rPr>
          <w:rFonts w:hint="eastAsia" w:ascii="宋体" w:hAnsi="宋体" w:cs="仿宋"/>
          <w:sz w:val="24"/>
        </w:rPr>
        <w:t>项目名称：详见</w:t>
      </w:r>
      <w:r>
        <w:rPr>
          <w:rFonts w:hint="eastAsia" w:cs="仿宋"/>
          <w:sz w:val="24"/>
          <w:lang w:val="en-US" w:eastAsia="zh-CN"/>
        </w:rPr>
        <w:t>谈判</w:t>
      </w:r>
      <w:r>
        <w:rPr>
          <w:rFonts w:hint="eastAsia" w:ascii="宋体" w:hAnsi="宋体" w:cs="仿宋"/>
          <w:sz w:val="24"/>
        </w:rPr>
        <w:t>须知前附表</w:t>
      </w:r>
    </w:p>
    <w:p w14:paraId="41F07222">
      <w:pPr>
        <w:spacing w:line="360" w:lineRule="auto"/>
        <w:ind w:firstLine="480" w:firstLineChars="200"/>
        <w:rPr>
          <w:rFonts w:ascii="宋体" w:hAnsi="宋体" w:cs="仿宋"/>
          <w:sz w:val="24"/>
        </w:rPr>
      </w:pPr>
      <w:r>
        <w:rPr>
          <w:rFonts w:hint="eastAsia" w:ascii="宋体" w:hAnsi="宋体" w:cs="仿宋"/>
          <w:sz w:val="24"/>
        </w:rPr>
        <w:t>1.1.3</w:t>
      </w:r>
      <w:r>
        <w:rPr>
          <w:rFonts w:hint="eastAsia" w:cs="仿宋"/>
          <w:sz w:val="24"/>
          <w:lang w:val="en-US" w:eastAsia="zh-CN"/>
        </w:rPr>
        <w:t>项目</w:t>
      </w:r>
      <w:r>
        <w:rPr>
          <w:rFonts w:hint="eastAsia" w:ascii="宋体" w:hAnsi="宋体" w:cs="仿宋"/>
          <w:sz w:val="24"/>
        </w:rPr>
        <w:t>概况: 详见</w:t>
      </w:r>
      <w:r>
        <w:rPr>
          <w:rFonts w:hint="eastAsia" w:cs="仿宋"/>
          <w:sz w:val="24"/>
          <w:lang w:val="en-US" w:eastAsia="zh-CN"/>
        </w:rPr>
        <w:t>谈判</w:t>
      </w:r>
      <w:r>
        <w:rPr>
          <w:rFonts w:hint="eastAsia" w:ascii="宋体" w:hAnsi="宋体" w:cs="仿宋"/>
          <w:sz w:val="24"/>
        </w:rPr>
        <w:t>须知前附表</w:t>
      </w:r>
    </w:p>
    <w:p w14:paraId="6E5F24C3">
      <w:pPr>
        <w:spacing w:line="360" w:lineRule="auto"/>
        <w:ind w:firstLine="480" w:firstLineChars="200"/>
        <w:rPr>
          <w:rFonts w:ascii="宋体" w:hAnsi="宋体" w:cs="仿宋"/>
          <w:sz w:val="24"/>
        </w:rPr>
      </w:pPr>
      <w:r>
        <w:rPr>
          <w:rFonts w:hint="eastAsia" w:ascii="宋体" w:hAnsi="宋体" w:cs="仿宋"/>
          <w:sz w:val="24"/>
        </w:rPr>
        <w:t>1.1.4 项目地点：详见</w:t>
      </w:r>
      <w:r>
        <w:rPr>
          <w:rFonts w:hint="eastAsia" w:cs="仿宋"/>
          <w:sz w:val="24"/>
          <w:lang w:val="en-US" w:eastAsia="zh-CN"/>
        </w:rPr>
        <w:t>谈判</w:t>
      </w:r>
      <w:r>
        <w:rPr>
          <w:rFonts w:hint="eastAsia" w:ascii="宋体" w:hAnsi="宋体" w:cs="仿宋"/>
          <w:sz w:val="24"/>
        </w:rPr>
        <w:t>须知前附表</w:t>
      </w:r>
    </w:p>
    <w:p w14:paraId="1CA35E42">
      <w:pPr>
        <w:pStyle w:val="32"/>
      </w:pPr>
      <w:bookmarkStart w:id="15" w:name="_Toc27657"/>
      <w:bookmarkStart w:id="16" w:name="_Toc247527555"/>
      <w:bookmarkStart w:id="17" w:name="_Toc25497"/>
      <w:bookmarkStart w:id="18" w:name="_Toc506105820"/>
      <w:bookmarkStart w:id="19" w:name="_Toc328559028"/>
      <w:bookmarkStart w:id="20" w:name="_Toc300834951"/>
      <w:bookmarkStart w:id="21" w:name="_Toc247513954"/>
      <w:bookmarkStart w:id="22" w:name="_Toc507936015"/>
      <w:r>
        <w:rPr>
          <w:rFonts w:hint="eastAsia"/>
        </w:rPr>
        <w:t>1.2 项目资金来源</w:t>
      </w:r>
      <w:bookmarkEnd w:id="15"/>
      <w:bookmarkEnd w:id="16"/>
      <w:bookmarkEnd w:id="17"/>
      <w:bookmarkEnd w:id="18"/>
      <w:bookmarkEnd w:id="19"/>
      <w:bookmarkEnd w:id="20"/>
      <w:bookmarkEnd w:id="21"/>
      <w:r>
        <w:rPr>
          <w:rFonts w:hint="eastAsia"/>
        </w:rPr>
        <w:t>、</w:t>
      </w:r>
      <w:r>
        <w:rPr>
          <w:rFonts w:hint="eastAsia"/>
          <w:lang w:val="en-US" w:eastAsia="zh-CN"/>
        </w:rPr>
        <w:t>采购人</w:t>
      </w:r>
      <w:r>
        <w:rPr>
          <w:rFonts w:hint="eastAsia"/>
        </w:rPr>
        <w:t>式、</w:t>
      </w:r>
      <w:r>
        <w:rPr>
          <w:rFonts w:hint="eastAsia"/>
          <w:lang w:val="en-US" w:eastAsia="zh-CN"/>
        </w:rPr>
        <w:t>采购</w:t>
      </w:r>
      <w:r>
        <w:rPr>
          <w:rFonts w:hint="eastAsia"/>
        </w:rPr>
        <w:t>控价</w:t>
      </w:r>
      <w:bookmarkEnd w:id="22"/>
    </w:p>
    <w:p w14:paraId="0678C164">
      <w:pPr>
        <w:spacing w:line="360" w:lineRule="auto"/>
        <w:ind w:firstLine="480" w:firstLineChars="200"/>
        <w:rPr>
          <w:rFonts w:hint="eastAsia" w:ascii="宋体" w:hAnsi="宋体" w:cs="仿宋"/>
          <w:sz w:val="24"/>
        </w:rPr>
      </w:pPr>
      <w:r>
        <w:rPr>
          <w:rFonts w:hint="eastAsia" w:ascii="宋体" w:hAnsi="宋体" w:cs="仿宋"/>
          <w:sz w:val="24"/>
        </w:rPr>
        <w:t>1.2.1 项目资金来源：</w:t>
      </w:r>
      <w:bookmarkStart w:id="23" w:name="_Toc328559029"/>
      <w:bookmarkStart w:id="24" w:name="_Toc247513955"/>
      <w:bookmarkStart w:id="25" w:name="_Toc30612"/>
      <w:bookmarkStart w:id="26" w:name="_Toc16572"/>
      <w:bookmarkStart w:id="27" w:name="_Toc300834952"/>
      <w:bookmarkStart w:id="28" w:name="_Toc247527556"/>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4F0062D2">
      <w:pPr>
        <w:spacing w:line="360" w:lineRule="auto"/>
        <w:ind w:firstLine="480" w:firstLineChars="200"/>
        <w:rPr>
          <w:rFonts w:hint="eastAsia" w:ascii="宋体" w:hAnsi="宋体" w:cs="仿宋"/>
          <w:sz w:val="24"/>
        </w:rPr>
      </w:pPr>
      <w:r>
        <w:rPr>
          <w:rFonts w:hint="eastAsia" w:ascii="宋体" w:hAnsi="宋体" w:cs="仿宋"/>
          <w:sz w:val="24"/>
        </w:rPr>
        <w:t>1.2.2</w:t>
      </w:r>
      <w:r>
        <w:rPr>
          <w:rFonts w:hint="eastAsia" w:cs="仿宋"/>
          <w:sz w:val="24"/>
          <w:lang w:val="en-US" w:eastAsia="zh-CN"/>
        </w:rPr>
        <w:t>采购人</w:t>
      </w:r>
      <w:r>
        <w:rPr>
          <w:rFonts w:hint="eastAsia" w:ascii="宋体" w:hAnsi="宋体" w:cs="仿宋"/>
          <w:sz w:val="24"/>
        </w:rPr>
        <w:t>式：详见</w:t>
      </w:r>
      <w:r>
        <w:rPr>
          <w:rFonts w:hint="eastAsia" w:cs="仿宋"/>
          <w:sz w:val="24"/>
          <w:lang w:val="en-US" w:eastAsia="zh-CN"/>
        </w:rPr>
        <w:t>谈判</w:t>
      </w:r>
      <w:r>
        <w:rPr>
          <w:rFonts w:hint="eastAsia" w:ascii="宋体" w:hAnsi="宋体" w:cs="仿宋"/>
          <w:sz w:val="24"/>
        </w:rPr>
        <w:t>须知前附表</w:t>
      </w:r>
    </w:p>
    <w:p w14:paraId="2571BC82">
      <w:pPr>
        <w:pStyle w:val="12"/>
        <w:ind w:left="0" w:leftChars="0" w:firstLine="480" w:firstLineChars="200"/>
        <w:rPr>
          <w:rFonts w:hint="eastAsia" w:eastAsia="宋体"/>
          <w:lang w:val="en-US" w:eastAsia="zh-CN"/>
        </w:rPr>
      </w:pPr>
      <w:r>
        <w:rPr>
          <w:rFonts w:hint="eastAsia" w:ascii="宋体" w:hAnsi="宋体" w:cs="仿宋"/>
          <w:sz w:val="24"/>
          <w:lang w:val="en-US" w:eastAsia="zh-CN"/>
        </w:rPr>
        <w:t>1.2.3</w:t>
      </w:r>
      <w:r>
        <w:rPr>
          <w:rFonts w:hint="eastAsia"/>
          <w:lang w:val="en-US" w:eastAsia="zh-CN"/>
        </w:rPr>
        <w:t>采购</w:t>
      </w:r>
      <w:r>
        <w:rPr>
          <w:rFonts w:hint="eastAsia"/>
        </w:rPr>
        <w:t>控价</w:t>
      </w:r>
      <w:r>
        <w:rPr>
          <w:rFonts w:hint="eastAsia"/>
          <w:lang w:eastAsia="zh-CN"/>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1E24CAF9">
      <w:pPr>
        <w:pStyle w:val="32"/>
      </w:pPr>
      <w:bookmarkStart w:id="29" w:name="_Toc506105821"/>
      <w:bookmarkStart w:id="30" w:name="_Toc507936016"/>
      <w:r>
        <w:rPr>
          <w:rFonts w:hint="eastAsia"/>
        </w:rPr>
        <w:t xml:space="preserve">1.3 </w:t>
      </w:r>
      <w:r>
        <w:rPr>
          <w:rFonts w:hint="eastAsia"/>
          <w:lang w:val="en-US" w:eastAsia="zh-CN"/>
        </w:rPr>
        <w:t>采购</w:t>
      </w:r>
      <w:r>
        <w:rPr>
          <w:rFonts w:hint="eastAsia"/>
        </w:rPr>
        <w:t>范围、供货周期、</w:t>
      </w:r>
      <w:bookmarkEnd w:id="23"/>
      <w:bookmarkEnd w:id="24"/>
      <w:bookmarkEnd w:id="25"/>
      <w:bookmarkEnd w:id="26"/>
      <w:bookmarkEnd w:id="27"/>
      <w:bookmarkEnd w:id="28"/>
      <w:bookmarkEnd w:id="29"/>
      <w:r>
        <w:rPr>
          <w:rFonts w:hint="eastAsia"/>
          <w:lang w:val="en-US" w:eastAsia="zh-CN"/>
        </w:rPr>
        <w:t>交货地点</w:t>
      </w:r>
      <w:r>
        <w:rPr>
          <w:rFonts w:hint="eastAsia"/>
        </w:rPr>
        <w:t>和质保期</w:t>
      </w:r>
      <w:bookmarkEnd w:id="30"/>
    </w:p>
    <w:p w14:paraId="0B185F11">
      <w:pPr>
        <w:tabs>
          <w:tab w:val="left" w:pos="220"/>
        </w:tabs>
        <w:snapToGrid w:val="0"/>
        <w:spacing w:line="360" w:lineRule="auto"/>
        <w:ind w:firstLine="480" w:firstLineChars="200"/>
        <w:rPr>
          <w:rFonts w:ascii="宋体" w:hAnsi="宋体" w:cs="仿宋"/>
          <w:sz w:val="24"/>
        </w:rPr>
      </w:pPr>
      <w:r>
        <w:rPr>
          <w:rFonts w:hint="eastAsia" w:ascii="宋体" w:hAnsi="宋体" w:cs="仿宋"/>
          <w:sz w:val="24"/>
        </w:rPr>
        <w:t xml:space="preserve">1.3.1 </w:t>
      </w:r>
      <w:r>
        <w:rPr>
          <w:rFonts w:hint="eastAsia" w:cs="仿宋"/>
          <w:sz w:val="24"/>
          <w:lang w:val="en-US" w:eastAsia="zh-CN"/>
        </w:rPr>
        <w:t>采购</w:t>
      </w:r>
      <w:r>
        <w:rPr>
          <w:rFonts w:hint="eastAsia" w:ascii="宋体" w:hAnsi="宋体" w:cs="仿宋"/>
          <w:sz w:val="24"/>
        </w:rPr>
        <w:t>范围：详见</w:t>
      </w:r>
      <w:r>
        <w:rPr>
          <w:rFonts w:hint="eastAsia" w:cs="仿宋"/>
          <w:sz w:val="24"/>
          <w:lang w:val="en-US" w:eastAsia="zh-CN"/>
        </w:rPr>
        <w:t>谈判</w:t>
      </w:r>
      <w:r>
        <w:rPr>
          <w:rFonts w:hint="eastAsia" w:ascii="宋体" w:hAnsi="宋体" w:cs="仿宋"/>
          <w:sz w:val="24"/>
        </w:rPr>
        <w:t>须知前附表</w:t>
      </w:r>
    </w:p>
    <w:p w14:paraId="6CDEFCA3">
      <w:pPr>
        <w:spacing w:line="360" w:lineRule="auto"/>
        <w:ind w:firstLine="480" w:firstLineChars="200"/>
        <w:rPr>
          <w:rFonts w:hint="eastAsia" w:ascii="宋体" w:hAnsi="宋体" w:cs="仿宋"/>
          <w:sz w:val="24"/>
        </w:rPr>
      </w:pPr>
      <w:r>
        <w:rPr>
          <w:rFonts w:hint="eastAsia" w:ascii="宋体" w:hAnsi="宋体" w:cs="仿宋"/>
          <w:sz w:val="24"/>
        </w:rPr>
        <w:t>1.3.2 供货周期：详见</w:t>
      </w:r>
      <w:r>
        <w:rPr>
          <w:rFonts w:hint="eastAsia" w:cs="仿宋"/>
          <w:sz w:val="24"/>
          <w:lang w:val="en-US" w:eastAsia="zh-CN"/>
        </w:rPr>
        <w:t>谈判</w:t>
      </w:r>
      <w:r>
        <w:rPr>
          <w:rFonts w:hint="eastAsia" w:ascii="宋体" w:hAnsi="宋体" w:cs="仿宋"/>
          <w:sz w:val="24"/>
        </w:rPr>
        <w:t>须知前附表</w:t>
      </w:r>
    </w:p>
    <w:p w14:paraId="41A53F50">
      <w:pPr>
        <w:spacing w:line="360" w:lineRule="auto"/>
        <w:ind w:firstLine="480" w:firstLineChars="200"/>
        <w:rPr>
          <w:rFonts w:hint="eastAsia" w:ascii="宋体" w:hAnsi="宋体" w:cs="仿宋"/>
          <w:sz w:val="24"/>
        </w:rPr>
      </w:pPr>
      <w:r>
        <w:rPr>
          <w:rFonts w:hint="eastAsia" w:ascii="宋体" w:hAnsi="宋体" w:cs="仿宋"/>
          <w:sz w:val="24"/>
        </w:rPr>
        <w:t>1.3.3 交货地点：详见</w:t>
      </w:r>
      <w:r>
        <w:rPr>
          <w:rFonts w:hint="eastAsia" w:cs="仿宋"/>
          <w:sz w:val="24"/>
          <w:lang w:val="en-US" w:eastAsia="zh-CN"/>
        </w:rPr>
        <w:t>谈判</w:t>
      </w:r>
      <w:r>
        <w:rPr>
          <w:rFonts w:hint="eastAsia" w:ascii="宋体" w:hAnsi="宋体" w:cs="仿宋"/>
          <w:sz w:val="24"/>
        </w:rPr>
        <w:t>须知前附表</w:t>
      </w:r>
    </w:p>
    <w:p w14:paraId="38C5ABC3">
      <w:pPr>
        <w:spacing w:line="360" w:lineRule="auto"/>
        <w:ind w:firstLine="480" w:firstLineChars="200"/>
        <w:rPr>
          <w:rFonts w:ascii="宋体" w:hAnsi="宋体" w:cs="仿宋"/>
          <w:sz w:val="24"/>
        </w:rPr>
      </w:pPr>
      <w:r>
        <w:rPr>
          <w:rFonts w:hint="eastAsia" w:ascii="宋体" w:hAnsi="宋体" w:cs="仿宋"/>
          <w:sz w:val="24"/>
        </w:rPr>
        <w:t>1.3.4质保期：详见</w:t>
      </w:r>
      <w:r>
        <w:rPr>
          <w:rFonts w:hint="eastAsia" w:cs="仿宋"/>
          <w:sz w:val="24"/>
          <w:lang w:val="en-US" w:eastAsia="zh-CN"/>
        </w:rPr>
        <w:t>谈判</w:t>
      </w:r>
      <w:r>
        <w:rPr>
          <w:rFonts w:hint="eastAsia" w:ascii="宋体" w:hAnsi="宋体" w:cs="仿宋"/>
          <w:sz w:val="24"/>
        </w:rPr>
        <w:t>须知前附表</w:t>
      </w:r>
    </w:p>
    <w:p w14:paraId="75D183EE">
      <w:pPr>
        <w:pStyle w:val="32"/>
      </w:pPr>
      <w:bookmarkStart w:id="31" w:name="_Toc506105822"/>
      <w:bookmarkStart w:id="32" w:name="_Toc507936017"/>
      <w:r>
        <w:rPr>
          <w:rFonts w:hint="eastAsia"/>
        </w:rPr>
        <w:t xml:space="preserve">1.4 </w:t>
      </w:r>
      <w:r>
        <w:rPr>
          <w:rFonts w:hint="eastAsia"/>
          <w:lang w:eastAsia="zh-CN"/>
        </w:rPr>
        <w:t>供应商</w:t>
      </w:r>
      <w:r>
        <w:rPr>
          <w:rFonts w:hint="eastAsia"/>
        </w:rPr>
        <w:t>资格要求</w:t>
      </w:r>
      <w:bookmarkEnd w:id="31"/>
      <w:bookmarkEnd w:id="32"/>
    </w:p>
    <w:p w14:paraId="330D9E77">
      <w:pPr>
        <w:ind w:firstLine="480" w:firstLineChars="200"/>
        <w:rPr>
          <w:rFonts w:ascii="宋体" w:hAnsi="宋体" w:cs="仿宋"/>
          <w:sz w:val="24"/>
        </w:rPr>
      </w:pPr>
      <w:r>
        <w:rPr>
          <w:rFonts w:hint="eastAsia" w:ascii="宋体" w:hAnsi="宋体" w:cs="仿宋"/>
          <w:sz w:val="24"/>
        </w:rPr>
        <w:t xml:space="preserve">1.4.1 </w:t>
      </w:r>
      <w:r>
        <w:rPr>
          <w:rFonts w:hint="eastAsia" w:cs="宋体"/>
          <w:sz w:val="24"/>
          <w:lang w:val="en-US" w:eastAsia="zh-CN"/>
        </w:rPr>
        <w:t>供应商</w:t>
      </w:r>
      <w:r>
        <w:rPr>
          <w:rFonts w:hint="eastAsia" w:ascii="宋体" w:hAnsi="宋体" w:cs="仿宋"/>
          <w:sz w:val="24"/>
        </w:rPr>
        <w:t>资格要求：详见</w:t>
      </w:r>
      <w:r>
        <w:rPr>
          <w:rFonts w:hint="eastAsia" w:cs="仿宋"/>
          <w:sz w:val="24"/>
          <w:lang w:val="en-US" w:eastAsia="zh-CN"/>
        </w:rPr>
        <w:t>谈判</w:t>
      </w:r>
      <w:r>
        <w:rPr>
          <w:rFonts w:hint="eastAsia" w:ascii="宋体" w:hAnsi="宋体" w:cs="仿宋"/>
          <w:sz w:val="24"/>
        </w:rPr>
        <w:t>须知前附表</w:t>
      </w:r>
    </w:p>
    <w:p w14:paraId="4525E534">
      <w:pPr>
        <w:spacing w:line="360" w:lineRule="auto"/>
        <w:ind w:firstLine="480" w:firstLineChars="200"/>
        <w:rPr>
          <w:rFonts w:hint="eastAsia" w:ascii="宋体" w:hAnsi="宋体" w:cs="仿宋"/>
          <w:sz w:val="24"/>
        </w:rPr>
      </w:pPr>
      <w:r>
        <w:rPr>
          <w:rFonts w:hint="eastAsia" w:ascii="宋体" w:hAnsi="宋体" w:cs="仿宋"/>
          <w:sz w:val="24"/>
        </w:rPr>
        <w:t>1.4.2 本</w:t>
      </w:r>
      <w:r>
        <w:rPr>
          <w:rFonts w:hint="eastAsia" w:cs="仿宋"/>
          <w:sz w:val="24"/>
          <w:lang w:val="en-US" w:eastAsia="zh-CN"/>
        </w:rPr>
        <w:t>次采购</w:t>
      </w:r>
      <w:r>
        <w:rPr>
          <w:rFonts w:hint="eastAsia" w:ascii="宋体" w:hAnsi="宋体" w:cs="仿宋"/>
          <w:sz w:val="24"/>
        </w:rPr>
        <w:t>不接受联合体。</w:t>
      </w:r>
    </w:p>
    <w:p w14:paraId="2018C6BC">
      <w:pPr>
        <w:spacing w:line="360" w:lineRule="auto"/>
        <w:ind w:firstLine="480" w:firstLineChars="200"/>
        <w:rPr>
          <w:rFonts w:hint="eastAsia" w:ascii="宋体" w:hAnsi="宋体" w:eastAsia="宋体" w:cs="宋体"/>
          <w:sz w:val="24"/>
        </w:rPr>
      </w:pPr>
      <w:bookmarkStart w:id="33" w:name="_Toc506105823"/>
      <w:bookmarkStart w:id="34" w:name="_Toc507936018"/>
      <w:r>
        <w:rPr>
          <w:rFonts w:hint="eastAsia" w:ascii="宋体" w:hAnsi="宋体" w:eastAsia="宋体" w:cs="宋体"/>
          <w:sz w:val="24"/>
        </w:rPr>
        <w:t>1.4.3供应商不得存在下列情形之一：</w:t>
      </w:r>
    </w:p>
    <w:p w14:paraId="5C9AEA6C">
      <w:pPr>
        <w:spacing w:line="360" w:lineRule="auto"/>
        <w:ind w:firstLine="480" w:firstLineChars="200"/>
        <w:rPr>
          <w:rFonts w:hint="eastAsia" w:ascii="宋体" w:hAnsi="宋体" w:eastAsia="宋体" w:cs="宋体"/>
          <w:sz w:val="24"/>
        </w:rPr>
      </w:pPr>
      <w:r>
        <w:rPr>
          <w:rFonts w:hint="eastAsia" w:ascii="宋体" w:hAnsi="宋体" w:eastAsia="宋体" w:cs="宋体"/>
          <w:sz w:val="24"/>
        </w:rPr>
        <w:t>（1）与</w:t>
      </w:r>
      <w:r>
        <w:rPr>
          <w:rFonts w:hint="eastAsia" w:ascii="宋体" w:hAnsi="宋体" w:eastAsia="宋体" w:cs="宋体"/>
          <w:sz w:val="24"/>
          <w:lang w:val="en-US" w:eastAsia="zh-CN"/>
        </w:rPr>
        <w:t>采购</w:t>
      </w:r>
      <w:r>
        <w:rPr>
          <w:rFonts w:hint="eastAsia" w:ascii="宋体" w:hAnsi="宋体" w:eastAsia="宋体" w:cs="宋体"/>
          <w:sz w:val="24"/>
        </w:rPr>
        <w:t>人存在利害关系且可能影响</w:t>
      </w:r>
      <w:r>
        <w:rPr>
          <w:rFonts w:hint="eastAsia" w:ascii="宋体" w:hAnsi="宋体" w:eastAsia="宋体" w:cs="宋体"/>
          <w:sz w:val="24"/>
          <w:lang w:val="en-US" w:eastAsia="zh-CN"/>
        </w:rPr>
        <w:t>采购</w:t>
      </w:r>
      <w:r>
        <w:rPr>
          <w:rFonts w:hint="eastAsia" w:ascii="宋体" w:hAnsi="宋体" w:eastAsia="宋体" w:cs="宋体"/>
          <w:sz w:val="24"/>
        </w:rPr>
        <w:t>公正性；</w:t>
      </w:r>
    </w:p>
    <w:p w14:paraId="375598C8">
      <w:pPr>
        <w:spacing w:line="360" w:lineRule="auto"/>
        <w:ind w:firstLine="480" w:firstLineChars="200"/>
        <w:rPr>
          <w:rFonts w:hint="eastAsia" w:ascii="宋体" w:hAnsi="宋体" w:eastAsia="宋体" w:cs="宋体"/>
          <w:sz w:val="24"/>
        </w:rPr>
      </w:pPr>
      <w:r>
        <w:rPr>
          <w:rFonts w:hint="eastAsia" w:ascii="宋体" w:hAnsi="宋体" w:eastAsia="宋体" w:cs="宋体"/>
          <w:sz w:val="24"/>
        </w:rPr>
        <w:t>（2）与本采购项目的其他供应商为同一个单位负责人；</w:t>
      </w:r>
    </w:p>
    <w:p w14:paraId="6A91FBD4">
      <w:pPr>
        <w:spacing w:line="360" w:lineRule="auto"/>
        <w:ind w:firstLine="480" w:firstLineChars="200"/>
        <w:rPr>
          <w:rFonts w:hint="eastAsia" w:ascii="宋体" w:hAnsi="宋体" w:eastAsia="宋体" w:cs="宋体"/>
          <w:sz w:val="24"/>
        </w:rPr>
      </w:pPr>
      <w:r>
        <w:rPr>
          <w:rFonts w:hint="eastAsia" w:ascii="宋体" w:hAnsi="宋体" w:eastAsia="宋体" w:cs="宋体"/>
          <w:sz w:val="24"/>
        </w:rPr>
        <w:t>（3）与本采购项目的其他供应商存在控股、管理关系；</w:t>
      </w:r>
    </w:p>
    <w:p w14:paraId="0BC0D660">
      <w:pPr>
        <w:spacing w:line="360" w:lineRule="auto"/>
        <w:ind w:firstLine="480" w:firstLineChars="200"/>
        <w:rPr>
          <w:rFonts w:hint="eastAsia" w:ascii="宋体" w:hAnsi="宋体" w:eastAsia="宋体" w:cs="宋体"/>
          <w:sz w:val="24"/>
        </w:rPr>
      </w:pPr>
      <w:r>
        <w:rPr>
          <w:rFonts w:hint="eastAsia" w:ascii="宋体" w:hAnsi="宋体" w:eastAsia="宋体" w:cs="宋体"/>
          <w:sz w:val="24"/>
        </w:rPr>
        <w:t>（4）与本采购项目其他供应商代理同一个制造商同一品牌同一型号的设备；</w:t>
      </w:r>
    </w:p>
    <w:p w14:paraId="5B8155DB">
      <w:pPr>
        <w:spacing w:line="360" w:lineRule="auto"/>
        <w:ind w:firstLine="480" w:firstLineChars="200"/>
        <w:rPr>
          <w:rFonts w:hint="eastAsia" w:ascii="宋体" w:hAnsi="宋体" w:eastAsia="宋体" w:cs="宋体"/>
          <w:sz w:val="24"/>
        </w:rPr>
      </w:pPr>
      <w:r>
        <w:rPr>
          <w:rFonts w:hint="eastAsia" w:ascii="宋体" w:hAnsi="宋体" w:eastAsia="宋体" w:cs="宋体"/>
          <w:sz w:val="24"/>
        </w:rPr>
        <w:t>（5）被依法暂停或者取消资格；</w:t>
      </w:r>
    </w:p>
    <w:p w14:paraId="18C72D33">
      <w:pPr>
        <w:spacing w:line="360" w:lineRule="auto"/>
        <w:ind w:firstLine="480" w:firstLineChars="200"/>
        <w:rPr>
          <w:rFonts w:hint="eastAsia" w:ascii="宋体" w:hAnsi="宋体" w:eastAsia="宋体" w:cs="宋体"/>
          <w:sz w:val="24"/>
        </w:rPr>
      </w:pPr>
      <w:r>
        <w:rPr>
          <w:rFonts w:hint="eastAsia" w:ascii="宋体" w:hAnsi="宋体" w:eastAsia="宋体" w:cs="宋体"/>
          <w:sz w:val="24"/>
        </w:rPr>
        <w:t>（6）被责令停产停业、暂扣或者吊销许可证、暂扣或者吊销执照；</w:t>
      </w:r>
    </w:p>
    <w:p w14:paraId="6BF7E117">
      <w:pPr>
        <w:spacing w:line="360" w:lineRule="auto"/>
        <w:ind w:firstLine="480" w:firstLineChars="200"/>
        <w:rPr>
          <w:rFonts w:hint="eastAsia" w:ascii="宋体" w:hAnsi="宋体" w:eastAsia="宋体" w:cs="宋体"/>
          <w:sz w:val="24"/>
        </w:rPr>
      </w:pPr>
      <w:r>
        <w:rPr>
          <w:rFonts w:hint="eastAsia" w:ascii="宋体" w:hAnsi="宋体" w:eastAsia="宋体" w:cs="宋体"/>
          <w:sz w:val="24"/>
        </w:rPr>
        <w:t>（7）进入清算程序，或被宣告破产，或其他丧失履约能力的情形；</w:t>
      </w:r>
    </w:p>
    <w:p w14:paraId="014E3D31">
      <w:pPr>
        <w:spacing w:line="360" w:lineRule="auto"/>
        <w:ind w:firstLine="480" w:firstLineChars="200"/>
        <w:rPr>
          <w:rFonts w:hint="eastAsia" w:ascii="宋体" w:hAnsi="宋体" w:eastAsia="宋体" w:cs="宋体"/>
          <w:sz w:val="24"/>
        </w:rPr>
      </w:pPr>
      <w:r>
        <w:rPr>
          <w:rFonts w:hint="eastAsia" w:ascii="宋体" w:hAnsi="宋体" w:eastAsia="宋体" w:cs="宋体"/>
          <w:sz w:val="24"/>
        </w:rPr>
        <w:t>（8）在最近三年内发生重大产品质量问题（以相关行业主管部门的行政处罚决定或司法 机关出具的有关法律文书为准）；</w:t>
      </w:r>
    </w:p>
    <w:p w14:paraId="2262F467">
      <w:pPr>
        <w:spacing w:line="360" w:lineRule="auto"/>
        <w:ind w:firstLine="480" w:firstLineChars="200"/>
        <w:rPr>
          <w:rFonts w:hint="eastAsia" w:ascii="宋体" w:hAnsi="宋体" w:eastAsia="宋体" w:cs="宋体"/>
          <w:sz w:val="24"/>
        </w:rPr>
      </w:pPr>
      <w:r>
        <w:rPr>
          <w:rFonts w:hint="eastAsia" w:ascii="宋体" w:hAnsi="宋体" w:eastAsia="宋体" w:cs="宋体"/>
          <w:sz w:val="24"/>
        </w:rPr>
        <w:t>（9）被工商行政管理机关在全国企业信用信息公示系统中列入严重违法失信企业名单；</w:t>
      </w:r>
    </w:p>
    <w:p w14:paraId="7A3C1842">
      <w:pPr>
        <w:spacing w:line="360" w:lineRule="auto"/>
        <w:ind w:firstLine="480" w:firstLineChars="200"/>
        <w:rPr>
          <w:rFonts w:hint="eastAsia" w:ascii="宋体" w:hAnsi="宋体" w:eastAsia="宋体" w:cs="宋体"/>
          <w:sz w:val="24"/>
        </w:rPr>
      </w:pPr>
      <w:r>
        <w:rPr>
          <w:rFonts w:hint="eastAsia" w:ascii="宋体" w:hAnsi="宋体" w:eastAsia="宋体" w:cs="宋体"/>
          <w:sz w:val="24"/>
        </w:rPr>
        <w:t>（10）被最高人民法院在“信用中国”网站（www.creditchina.gov.cn)或各级信用信息共享平台中列入失信被执行人名单；</w:t>
      </w:r>
    </w:p>
    <w:p w14:paraId="6F952D46">
      <w:pPr>
        <w:spacing w:line="360" w:lineRule="auto"/>
        <w:ind w:firstLine="480" w:firstLineChars="200"/>
        <w:rPr>
          <w:rFonts w:hint="eastAsia" w:ascii="宋体" w:hAnsi="宋体" w:eastAsia="宋体" w:cs="宋体"/>
          <w:sz w:val="24"/>
        </w:rPr>
      </w:pPr>
      <w:r>
        <w:rPr>
          <w:rFonts w:hint="eastAsia" w:ascii="宋体" w:hAnsi="宋体" w:eastAsia="宋体" w:cs="宋体"/>
          <w:sz w:val="24"/>
        </w:rPr>
        <w:t>（11）在近三年内供应商或其法定代表人有行贿犯罪行为的（以检察机关职务犯罪预防部门出具的查询结果为准）；</w:t>
      </w:r>
    </w:p>
    <w:p w14:paraId="07AFDA78">
      <w:pPr>
        <w:spacing w:line="360" w:lineRule="auto"/>
        <w:ind w:firstLine="480" w:firstLineChars="200"/>
        <w:rPr>
          <w:rFonts w:hint="eastAsia" w:ascii="宋体" w:hAnsi="宋体" w:eastAsia="宋体" w:cs="宋体"/>
          <w:sz w:val="24"/>
        </w:rPr>
      </w:pPr>
      <w:r>
        <w:rPr>
          <w:rFonts w:hint="eastAsia" w:ascii="宋体" w:hAnsi="宋体" w:eastAsia="宋体" w:cs="宋体"/>
          <w:sz w:val="24"/>
        </w:rPr>
        <w:t>（12）法律法规或供应商须知前附表规定的其他情形。</w:t>
      </w:r>
    </w:p>
    <w:p w14:paraId="7913BD86">
      <w:pPr>
        <w:pStyle w:val="32"/>
      </w:pPr>
      <w:r>
        <w:rPr>
          <w:rFonts w:hint="eastAsia"/>
        </w:rPr>
        <w:t>1.5 费用承担</w:t>
      </w:r>
      <w:bookmarkEnd w:id="33"/>
      <w:bookmarkEnd w:id="34"/>
    </w:p>
    <w:p w14:paraId="44E84A7E">
      <w:pPr>
        <w:ind w:firstLine="480" w:firstLineChars="200"/>
        <w:rPr>
          <w:rFonts w:ascii="宋体" w:hAnsi="宋体" w:cs="仿宋"/>
          <w:sz w:val="24"/>
        </w:rPr>
      </w:pPr>
      <w:r>
        <w:rPr>
          <w:rFonts w:hint="eastAsia" w:cs="宋体"/>
          <w:sz w:val="24"/>
          <w:lang w:val="en-US" w:eastAsia="zh-CN"/>
        </w:rPr>
        <w:t>供应商</w:t>
      </w:r>
      <w:r>
        <w:rPr>
          <w:rFonts w:hint="eastAsia" w:ascii="宋体" w:hAnsi="宋体" w:cs="仿宋"/>
          <w:sz w:val="24"/>
        </w:rPr>
        <w:t>准备和参加</w:t>
      </w:r>
      <w:r>
        <w:rPr>
          <w:rFonts w:hint="eastAsia" w:cs="仿宋"/>
          <w:sz w:val="24"/>
          <w:lang w:val="en-US" w:eastAsia="zh-CN"/>
        </w:rPr>
        <w:t>谈判</w:t>
      </w:r>
      <w:r>
        <w:rPr>
          <w:rFonts w:hint="eastAsia" w:ascii="宋体" w:hAnsi="宋体" w:cs="仿宋"/>
          <w:sz w:val="24"/>
        </w:rPr>
        <w:t>活动发生的费用自理。</w:t>
      </w:r>
    </w:p>
    <w:p w14:paraId="51BF28D7">
      <w:pPr>
        <w:pStyle w:val="32"/>
      </w:pPr>
      <w:bookmarkStart w:id="35" w:name="_Toc507936019"/>
      <w:bookmarkStart w:id="36" w:name="_Toc506105824"/>
      <w:r>
        <w:rPr>
          <w:rFonts w:hint="eastAsia"/>
        </w:rPr>
        <w:t>1.6 保密</w:t>
      </w:r>
      <w:bookmarkEnd w:id="35"/>
      <w:bookmarkEnd w:id="36"/>
    </w:p>
    <w:p w14:paraId="09EB76DD">
      <w:pPr>
        <w:spacing w:line="360" w:lineRule="auto"/>
        <w:ind w:firstLine="480" w:firstLineChars="200"/>
        <w:rPr>
          <w:rFonts w:ascii="宋体" w:hAnsi="宋体" w:cs="仿宋"/>
          <w:sz w:val="24"/>
        </w:rPr>
      </w:pPr>
      <w:r>
        <w:rPr>
          <w:rFonts w:hint="eastAsia" w:ascii="宋体" w:hAnsi="宋体" w:cs="仿宋"/>
          <w:sz w:val="24"/>
        </w:rPr>
        <w:t>参与</w:t>
      </w:r>
      <w:r>
        <w:rPr>
          <w:rFonts w:hint="eastAsia" w:cs="仿宋"/>
          <w:sz w:val="24"/>
          <w:lang w:val="en-US" w:eastAsia="zh-CN"/>
        </w:rPr>
        <w:t>谈判</w:t>
      </w:r>
      <w:r>
        <w:rPr>
          <w:rFonts w:hint="eastAsia" w:ascii="宋体" w:hAnsi="宋体" w:cs="仿宋"/>
          <w:sz w:val="24"/>
        </w:rPr>
        <w:t>活动的各方应对</w:t>
      </w:r>
      <w:r>
        <w:rPr>
          <w:rFonts w:hint="eastAsia" w:cs="仿宋"/>
          <w:sz w:val="24"/>
          <w:lang w:val="en-US" w:eastAsia="zh-CN"/>
        </w:rPr>
        <w:t>谈判</w:t>
      </w:r>
      <w:r>
        <w:rPr>
          <w:rFonts w:hint="eastAsia" w:ascii="宋体" w:hAnsi="宋体" w:cs="仿宋"/>
          <w:sz w:val="24"/>
        </w:rPr>
        <w:t>文件和</w:t>
      </w:r>
      <w:r>
        <w:rPr>
          <w:rFonts w:hint="eastAsia" w:cs="仿宋"/>
          <w:sz w:val="24"/>
          <w:lang w:val="en-US" w:eastAsia="zh-CN"/>
        </w:rPr>
        <w:t>响应</w:t>
      </w:r>
      <w:r>
        <w:rPr>
          <w:rFonts w:hint="eastAsia" w:ascii="宋体" w:hAnsi="宋体" w:cs="仿宋"/>
          <w:sz w:val="24"/>
        </w:rPr>
        <w:t>文件中的商业和技术等秘密保密，违者应对由此造成的后果承担法律责任。</w:t>
      </w:r>
    </w:p>
    <w:p w14:paraId="7595DB13">
      <w:pPr>
        <w:pStyle w:val="32"/>
      </w:pPr>
      <w:bookmarkStart w:id="37" w:name="_Toc506105825"/>
      <w:bookmarkStart w:id="38" w:name="_Toc507936020"/>
      <w:r>
        <w:rPr>
          <w:rFonts w:hint="eastAsia"/>
        </w:rPr>
        <w:t>1.7 语言文字</w:t>
      </w:r>
      <w:bookmarkEnd w:id="37"/>
      <w:bookmarkEnd w:id="38"/>
    </w:p>
    <w:p w14:paraId="757DBBF1">
      <w:pPr>
        <w:spacing w:line="360" w:lineRule="auto"/>
        <w:ind w:firstLine="480" w:firstLineChars="200"/>
        <w:rPr>
          <w:rFonts w:ascii="宋体" w:hAnsi="宋体" w:cs="仿宋"/>
          <w:sz w:val="24"/>
        </w:rPr>
      </w:pPr>
      <w:r>
        <w:rPr>
          <w:rFonts w:hint="eastAsia" w:ascii="宋体" w:hAnsi="宋体" w:cs="仿宋"/>
          <w:sz w:val="24"/>
        </w:rPr>
        <w:t>除专用术语外，与</w:t>
      </w:r>
      <w:r>
        <w:rPr>
          <w:rFonts w:hint="eastAsia" w:cs="仿宋"/>
          <w:sz w:val="24"/>
          <w:lang w:val="en-US" w:eastAsia="zh-CN"/>
        </w:rPr>
        <w:t>谈判</w:t>
      </w:r>
      <w:r>
        <w:rPr>
          <w:rFonts w:hint="eastAsia" w:ascii="宋体" w:hAnsi="宋体" w:cs="仿宋"/>
          <w:sz w:val="24"/>
        </w:rPr>
        <w:t>有关的语言均使用中文</w:t>
      </w:r>
      <w:r>
        <w:rPr>
          <w:rFonts w:hint="eastAsia" w:cs="仿宋"/>
          <w:sz w:val="24"/>
          <w:lang w:eastAsia="zh-CN"/>
        </w:rPr>
        <w:t>，</w:t>
      </w:r>
      <w:r>
        <w:rPr>
          <w:rFonts w:hint="eastAsia" w:ascii="宋体" w:hAnsi="宋体" w:cs="仿宋"/>
          <w:sz w:val="24"/>
        </w:rPr>
        <w:t>必要时专用术语应附有中文注释。</w:t>
      </w:r>
    </w:p>
    <w:p w14:paraId="62986D40">
      <w:pPr>
        <w:pStyle w:val="32"/>
      </w:pPr>
      <w:bookmarkStart w:id="39" w:name="_Toc506105826"/>
      <w:bookmarkStart w:id="40" w:name="_Toc507936021"/>
      <w:r>
        <w:rPr>
          <w:rFonts w:hint="eastAsia"/>
        </w:rPr>
        <w:t>1.8 计量单位</w:t>
      </w:r>
      <w:bookmarkEnd w:id="39"/>
      <w:bookmarkEnd w:id="40"/>
    </w:p>
    <w:p w14:paraId="26D5F55F">
      <w:pPr>
        <w:spacing w:line="360" w:lineRule="auto"/>
        <w:ind w:firstLine="480" w:firstLineChars="200"/>
        <w:rPr>
          <w:rFonts w:ascii="宋体" w:hAnsi="宋体" w:cs="仿宋"/>
          <w:sz w:val="24"/>
        </w:rPr>
      </w:pPr>
      <w:r>
        <w:rPr>
          <w:rFonts w:hint="eastAsia" w:ascii="宋体" w:hAnsi="宋体" w:cs="仿宋"/>
          <w:sz w:val="24"/>
        </w:rPr>
        <w:t>所有计量均采用中华人民共和国法定计量单位。</w:t>
      </w:r>
    </w:p>
    <w:p w14:paraId="3E80E3F6">
      <w:pPr>
        <w:pStyle w:val="32"/>
      </w:pPr>
      <w:bookmarkStart w:id="41" w:name="_Toc506105827"/>
      <w:bookmarkStart w:id="42" w:name="_Toc507936022"/>
      <w:r>
        <w:rPr>
          <w:rFonts w:hint="eastAsia"/>
        </w:rPr>
        <w:t>1.9 踏勘现场</w:t>
      </w:r>
      <w:bookmarkEnd w:id="41"/>
      <w:bookmarkEnd w:id="42"/>
    </w:p>
    <w:p w14:paraId="5F8A34E3">
      <w:pPr>
        <w:spacing w:line="360" w:lineRule="auto"/>
        <w:ind w:firstLine="480" w:firstLineChars="200"/>
        <w:rPr>
          <w:rStyle w:val="19"/>
        </w:rPr>
      </w:pPr>
      <w:r>
        <w:rPr>
          <w:rFonts w:hint="eastAsia" w:ascii="宋体" w:hAnsi="宋体" w:cs="仿宋"/>
          <w:sz w:val="24"/>
        </w:rPr>
        <w:t>1.9.1详见</w:t>
      </w:r>
      <w:r>
        <w:rPr>
          <w:rFonts w:hint="eastAsia" w:cs="仿宋"/>
          <w:sz w:val="24"/>
          <w:lang w:val="en-US" w:eastAsia="zh-CN"/>
        </w:rPr>
        <w:t>谈判</w:t>
      </w:r>
      <w:r>
        <w:rPr>
          <w:rFonts w:hint="eastAsia" w:ascii="宋体" w:hAnsi="宋体" w:cs="仿宋"/>
          <w:sz w:val="24"/>
        </w:rPr>
        <w:t>须知前附表</w:t>
      </w:r>
    </w:p>
    <w:p w14:paraId="560A808A">
      <w:pPr>
        <w:pStyle w:val="32"/>
      </w:pPr>
      <w:bookmarkStart w:id="43" w:name="_Toc506105828"/>
      <w:bookmarkStart w:id="44" w:name="_Toc507936023"/>
      <w:r>
        <w:rPr>
          <w:rFonts w:hint="eastAsia"/>
        </w:rPr>
        <w:t xml:space="preserve">1.10 </w:t>
      </w:r>
      <w:r>
        <w:rPr>
          <w:rFonts w:hint="eastAsia"/>
          <w:lang w:val="en-US" w:eastAsia="zh-CN"/>
        </w:rPr>
        <w:t>谈判</w:t>
      </w:r>
      <w:r>
        <w:rPr>
          <w:rFonts w:hint="eastAsia"/>
        </w:rPr>
        <w:t>预备会</w:t>
      </w:r>
      <w:bookmarkEnd w:id="43"/>
      <w:bookmarkEnd w:id="44"/>
    </w:p>
    <w:p w14:paraId="10DDAF9C">
      <w:pPr>
        <w:spacing w:line="360" w:lineRule="auto"/>
        <w:ind w:firstLine="480" w:firstLineChars="200"/>
        <w:rPr>
          <w:rFonts w:hint="eastAsia" w:ascii="宋体" w:hAnsi="宋体" w:cs="仿宋"/>
          <w:sz w:val="24"/>
        </w:rPr>
      </w:pPr>
      <w:r>
        <w:rPr>
          <w:rFonts w:hint="eastAsia" w:ascii="宋体" w:hAnsi="宋体" w:cs="仿宋"/>
          <w:sz w:val="24"/>
        </w:rPr>
        <w:t>1.10.1</w:t>
      </w:r>
      <w:r>
        <w:rPr>
          <w:rFonts w:hint="eastAsia" w:cs="仿宋"/>
          <w:sz w:val="24"/>
          <w:lang w:val="en-US" w:eastAsia="zh-CN"/>
        </w:rPr>
        <w:t>采购</w:t>
      </w:r>
      <w:r>
        <w:rPr>
          <w:rFonts w:hint="eastAsia" w:ascii="宋体" w:hAnsi="宋体" w:cs="仿宋"/>
          <w:sz w:val="24"/>
        </w:rPr>
        <w:t>人不召开</w:t>
      </w:r>
      <w:r>
        <w:rPr>
          <w:rFonts w:hint="eastAsia" w:cs="仿宋"/>
          <w:sz w:val="24"/>
          <w:lang w:val="en-US" w:eastAsia="zh-CN"/>
        </w:rPr>
        <w:t>谈判</w:t>
      </w:r>
      <w:r>
        <w:rPr>
          <w:rFonts w:hint="eastAsia" w:ascii="宋体" w:hAnsi="宋体" w:cs="仿宋"/>
          <w:sz w:val="24"/>
        </w:rPr>
        <w:t>预备会。</w:t>
      </w:r>
    </w:p>
    <w:p w14:paraId="79438CBB">
      <w:pPr>
        <w:pStyle w:val="30"/>
        <w:rPr>
          <w:rStyle w:val="19"/>
          <w:b w:val="0"/>
          <w:bCs w:val="0"/>
        </w:rPr>
      </w:pPr>
      <w:bookmarkStart w:id="45" w:name="_Toc507936024"/>
      <w:r>
        <w:rPr>
          <w:rStyle w:val="19"/>
          <w:rFonts w:hint="eastAsia"/>
          <w:b w:val="0"/>
          <w:bCs w:val="0"/>
        </w:rPr>
        <w:t>2.</w:t>
      </w:r>
      <w:r>
        <w:rPr>
          <w:rStyle w:val="19"/>
          <w:rFonts w:hint="eastAsia" w:eastAsia="宋体"/>
          <w:b w:val="0"/>
          <w:bCs w:val="0"/>
          <w:lang w:val="en-US" w:eastAsia="zh-CN"/>
        </w:rPr>
        <w:t>谈判</w:t>
      </w:r>
      <w:r>
        <w:rPr>
          <w:rStyle w:val="19"/>
          <w:rFonts w:hint="eastAsia"/>
          <w:b w:val="0"/>
          <w:bCs w:val="0"/>
        </w:rPr>
        <w:t>文件</w:t>
      </w:r>
      <w:bookmarkEnd w:id="45"/>
    </w:p>
    <w:p w14:paraId="51E33771">
      <w:pPr>
        <w:pStyle w:val="32"/>
        <w:rPr>
          <w:rFonts w:hint="default" w:eastAsia="宋体"/>
          <w:lang w:val="en-US" w:eastAsia="zh-CN"/>
        </w:rPr>
      </w:pPr>
      <w:bookmarkStart w:id="46" w:name="_Toc507936025"/>
      <w:bookmarkStart w:id="47" w:name="_Toc506105830"/>
      <w:r>
        <w:rPr>
          <w:rFonts w:hint="eastAsia"/>
        </w:rPr>
        <w:t xml:space="preserve">2.1 </w:t>
      </w:r>
      <w:r>
        <w:rPr>
          <w:rFonts w:hint="eastAsia"/>
          <w:lang w:val="en-US" w:eastAsia="zh-CN"/>
        </w:rPr>
        <w:t>谈判</w:t>
      </w:r>
      <w:r>
        <w:rPr>
          <w:rFonts w:hint="eastAsia"/>
        </w:rPr>
        <w:t>文件的内容</w:t>
      </w:r>
      <w:bookmarkEnd w:id="46"/>
      <w:bookmarkEnd w:id="47"/>
      <w:r>
        <w:rPr>
          <w:rFonts w:hint="eastAsia"/>
          <w:lang w:val="en-US" w:eastAsia="zh-CN"/>
        </w:rPr>
        <w:t>和发布</w:t>
      </w:r>
    </w:p>
    <w:p w14:paraId="534B8A91">
      <w:pPr>
        <w:spacing w:line="360" w:lineRule="auto"/>
        <w:ind w:firstLine="480" w:firstLineChars="200"/>
        <w:rPr>
          <w:rFonts w:ascii="宋体" w:hAnsi="宋体" w:cs="仿宋"/>
          <w:sz w:val="24"/>
        </w:rPr>
      </w:pPr>
      <w:r>
        <w:rPr>
          <w:rFonts w:hint="eastAsia" w:ascii="宋体" w:hAnsi="宋体" w:cs="仿宋"/>
          <w:sz w:val="24"/>
        </w:rPr>
        <w:t>2.1.1</w:t>
      </w:r>
      <w:r>
        <w:rPr>
          <w:rFonts w:hint="eastAsia" w:cs="仿宋"/>
          <w:sz w:val="24"/>
          <w:lang w:val="en-US" w:eastAsia="zh-CN"/>
        </w:rPr>
        <w:t>谈判</w:t>
      </w:r>
      <w:r>
        <w:rPr>
          <w:rFonts w:hint="eastAsia" w:ascii="宋体" w:hAnsi="宋体" w:cs="仿宋"/>
          <w:sz w:val="24"/>
        </w:rPr>
        <w:t>文件包括：</w:t>
      </w:r>
    </w:p>
    <w:p w14:paraId="410DF06E">
      <w:pPr>
        <w:spacing w:line="360" w:lineRule="auto"/>
        <w:ind w:firstLine="480" w:firstLineChars="200"/>
        <w:rPr>
          <w:rFonts w:ascii="宋体" w:hAnsi="宋体" w:cs="仿宋"/>
          <w:sz w:val="24"/>
        </w:rPr>
      </w:pPr>
      <w:r>
        <w:rPr>
          <w:rFonts w:hint="eastAsia" w:ascii="宋体" w:hAnsi="宋体" w:cs="仿宋"/>
          <w:sz w:val="24"/>
        </w:rPr>
        <w:t>（1）</w:t>
      </w:r>
      <w:r>
        <w:rPr>
          <w:rFonts w:hint="eastAsia" w:cs="仿宋"/>
          <w:sz w:val="24"/>
          <w:lang w:val="en-US" w:eastAsia="zh-CN"/>
        </w:rPr>
        <w:t>谈判公告</w:t>
      </w:r>
    </w:p>
    <w:p w14:paraId="451CCBC5">
      <w:pPr>
        <w:spacing w:line="360" w:lineRule="auto"/>
        <w:ind w:firstLine="480" w:firstLineChars="200"/>
        <w:rPr>
          <w:rFonts w:ascii="宋体" w:hAnsi="宋体" w:cs="仿宋"/>
          <w:sz w:val="24"/>
        </w:rPr>
      </w:pPr>
      <w:r>
        <w:rPr>
          <w:rFonts w:hint="eastAsia" w:ascii="宋体" w:hAnsi="宋体" w:cs="仿宋"/>
          <w:sz w:val="24"/>
        </w:rPr>
        <w:t>（2）</w:t>
      </w:r>
      <w:r>
        <w:rPr>
          <w:rFonts w:hint="eastAsia" w:cs="仿宋"/>
          <w:sz w:val="24"/>
          <w:lang w:val="en-US" w:eastAsia="zh-CN"/>
        </w:rPr>
        <w:t>谈判</w:t>
      </w:r>
      <w:r>
        <w:rPr>
          <w:rFonts w:hint="eastAsia" w:ascii="宋体" w:hAnsi="宋体" w:cs="仿宋"/>
          <w:sz w:val="24"/>
        </w:rPr>
        <w:t>须知</w:t>
      </w:r>
    </w:p>
    <w:p w14:paraId="568970E7">
      <w:pPr>
        <w:spacing w:line="360" w:lineRule="auto"/>
        <w:ind w:firstLine="480" w:firstLineChars="200"/>
        <w:rPr>
          <w:rFonts w:ascii="宋体" w:hAnsi="宋体" w:cs="仿宋"/>
          <w:sz w:val="24"/>
        </w:rPr>
      </w:pPr>
      <w:r>
        <w:rPr>
          <w:rFonts w:hint="eastAsia" w:ascii="宋体" w:hAnsi="宋体" w:cs="仿宋"/>
          <w:sz w:val="24"/>
        </w:rPr>
        <w:t>（3）评</w:t>
      </w:r>
      <w:r>
        <w:rPr>
          <w:rFonts w:hint="eastAsia" w:cs="仿宋"/>
          <w:sz w:val="24"/>
          <w:lang w:val="en-US" w:eastAsia="zh-CN"/>
        </w:rPr>
        <w:t>审</w:t>
      </w:r>
      <w:r>
        <w:rPr>
          <w:rFonts w:hint="eastAsia" w:ascii="宋体" w:hAnsi="宋体" w:cs="仿宋"/>
          <w:sz w:val="24"/>
        </w:rPr>
        <w:t>办法</w:t>
      </w:r>
    </w:p>
    <w:p w14:paraId="60101981">
      <w:pPr>
        <w:spacing w:line="360" w:lineRule="auto"/>
        <w:ind w:firstLine="480" w:firstLineChars="200"/>
        <w:rPr>
          <w:rFonts w:ascii="宋体" w:hAnsi="宋体" w:cs="仿宋"/>
          <w:sz w:val="24"/>
        </w:rPr>
      </w:pPr>
      <w:r>
        <w:rPr>
          <w:rFonts w:hint="eastAsia" w:ascii="宋体" w:hAnsi="宋体" w:cs="仿宋"/>
          <w:sz w:val="24"/>
        </w:rPr>
        <w:t>（4）合同及附件</w:t>
      </w:r>
    </w:p>
    <w:p w14:paraId="76744B05">
      <w:pPr>
        <w:spacing w:line="360" w:lineRule="auto"/>
        <w:ind w:firstLine="480" w:firstLineChars="200"/>
        <w:rPr>
          <w:rFonts w:ascii="宋体" w:hAnsi="宋体" w:cs="仿宋"/>
          <w:sz w:val="24"/>
        </w:rPr>
      </w:pPr>
      <w:r>
        <w:rPr>
          <w:rFonts w:hint="eastAsia" w:ascii="宋体" w:hAnsi="宋体" w:cs="仿宋"/>
          <w:sz w:val="24"/>
        </w:rPr>
        <w:t>（5）</w:t>
      </w:r>
      <w:r>
        <w:rPr>
          <w:rFonts w:hint="eastAsia" w:cs="仿宋"/>
          <w:sz w:val="24"/>
          <w:lang w:val="en-US" w:eastAsia="zh-CN"/>
        </w:rPr>
        <w:t>响应</w:t>
      </w:r>
      <w:r>
        <w:rPr>
          <w:rFonts w:hint="eastAsia" w:ascii="宋体" w:hAnsi="宋体" w:cs="仿宋"/>
          <w:sz w:val="24"/>
        </w:rPr>
        <w:t>文件格式及内容</w:t>
      </w:r>
    </w:p>
    <w:p w14:paraId="23560DC3">
      <w:pPr>
        <w:spacing w:line="360" w:lineRule="auto"/>
        <w:ind w:firstLine="480" w:firstLineChars="200"/>
        <w:rPr>
          <w:rFonts w:ascii="宋体" w:hAnsi="宋体" w:cs="仿宋"/>
          <w:sz w:val="24"/>
        </w:rPr>
      </w:pPr>
      <w:r>
        <w:rPr>
          <w:rFonts w:hint="eastAsia" w:ascii="宋体" w:hAnsi="宋体" w:cs="仿宋"/>
          <w:sz w:val="24"/>
        </w:rPr>
        <w:t>根据本章第1.10款、第2.2款和第2.3款对</w:t>
      </w:r>
      <w:r>
        <w:rPr>
          <w:rFonts w:hint="eastAsia" w:cs="仿宋"/>
          <w:sz w:val="24"/>
          <w:lang w:val="en-US" w:eastAsia="zh-CN"/>
        </w:rPr>
        <w:t>谈判</w:t>
      </w:r>
      <w:r>
        <w:rPr>
          <w:rFonts w:hint="eastAsia" w:ascii="宋体" w:hAnsi="宋体" w:cs="仿宋"/>
          <w:sz w:val="24"/>
        </w:rPr>
        <w:t>文件所作的澄清、修改，构成</w:t>
      </w:r>
      <w:r>
        <w:rPr>
          <w:rFonts w:hint="eastAsia" w:cs="仿宋"/>
          <w:sz w:val="24"/>
          <w:lang w:val="en-US" w:eastAsia="zh-CN"/>
        </w:rPr>
        <w:t>谈判</w:t>
      </w:r>
      <w:r>
        <w:rPr>
          <w:rFonts w:hint="eastAsia" w:ascii="宋体" w:hAnsi="宋体" w:cs="仿宋"/>
          <w:sz w:val="24"/>
        </w:rPr>
        <w:t>文件的组成部分。</w:t>
      </w:r>
    </w:p>
    <w:p w14:paraId="3CA51527">
      <w:pPr>
        <w:spacing w:line="360" w:lineRule="auto"/>
        <w:ind w:firstLine="480" w:firstLineChars="200"/>
        <w:rPr>
          <w:rFonts w:hint="eastAsia" w:ascii="宋体" w:hAnsi="宋体" w:cs="仿宋"/>
          <w:sz w:val="24"/>
        </w:rPr>
      </w:pPr>
      <w:r>
        <w:rPr>
          <w:rFonts w:hint="eastAsia" w:ascii="宋体" w:hAnsi="宋体" w:cs="仿宋"/>
          <w:sz w:val="24"/>
        </w:rPr>
        <w:t>2.1.2若</w:t>
      </w:r>
      <w:r>
        <w:rPr>
          <w:rFonts w:hint="eastAsia" w:cs="仿宋"/>
          <w:sz w:val="24"/>
          <w:lang w:val="en-US" w:eastAsia="zh-CN"/>
        </w:rPr>
        <w:t>谈判</w:t>
      </w:r>
      <w:r>
        <w:rPr>
          <w:rFonts w:hint="eastAsia" w:ascii="宋体" w:hAnsi="宋体" w:cs="仿宋"/>
          <w:sz w:val="24"/>
        </w:rPr>
        <w:t>文件中不同章节对同一内容叙述有差异的，性能、参数以技术要求为准；</w:t>
      </w:r>
      <w:r>
        <w:rPr>
          <w:rFonts w:hint="eastAsia" w:cs="仿宋"/>
          <w:sz w:val="24"/>
          <w:lang w:val="en-US" w:eastAsia="zh-CN"/>
        </w:rPr>
        <w:t>供应商</w:t>
      </w:r>
      <w:r>
        <w:rPr>
          <w:rFonts w:hint="eastAsia" w:ascii="宋体" w:hAnsi="宋体" w:cs="仿宋"/>
          <w:sz w:val="24"/>
        </w:rPr>
        <w:t>资格要求、交货期、交货地点、</w:t>
      </w:r>
      <w:r>
        <w:rPr>
          <w:rFonts w:hint="eastAsia" w:cs="仿宋"/>
          <w:sz w:val="24"/>
          <w:lang w:val="en-US" w:eastAsia="zh-CN"/>
        </w:rPr>
        <w:t>质保期</w:t>
      </w:r>
      <w:r>
        <w:rPr>
          <w:rFonts w:hint="eastAsia" w:ascii="宋体" w:hAnsi="宋体" w:cs="仿宋"/>
          <w:sz w:val="24"/>
        </w:rPr>
        <w:t>以</w:t>
      </w:r>
      <w:r>
        <w:rPr>
          <w:rFonts w:hint="eastAsia" w:cs="宋体"/>
          <w:sz w:val="24"/>
          <w:lang w:val="en-US" w:eastAsia="zh-CN"/>
        </w:rPr>
        <w:t>谈判</w:t>
      </w:r>
      <w:r>
        <w:rPr>
          <w:rFonts w:hint="eastAsia" w:cs="宋体"/>
          <w:sz w:val="24"/>
        </w:rPr>
        <w:t>须知前附表</w:t>
      </w:r>
      <w:r>
        <w:rPr>
          <w:rFonts w:hint="eastAsia" w:ascii="宋体" w:hAnsi="宋体" w:cs="仿宋"/>
          <w:sz w:val="24"/>
        </w:rPr>
        <w:t>为准。</w:t>
      </w:r>
    </w:p>
    <w:p w14:paraId="644BBBF7">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仿宋"/>
          <w:sz w:val="24"/>
          <w:szCs w:val="24"/>
          <w:lang w:val="en-US" w:eastAsia="zh-CN" w:bidi="ar-SA"/>
        </w:rPr>
      </w:pPr>
      <w:r>
        <w:rPr>
          <w:rFonts w:hint="eastAsia" w:ascii="宋体" w:hAnsi="宋体" w:eastAsia="宋体" w:cs="仿宋"/>
          <w:sz w:val="24"/>
          <w:szCs w:val="24"/>
          <w:lang w:val="en-US" w:eastAsia="zh-CN" w:bidi="ar-SA"/>
        </w:rPr>
        <w:t>2.1.3本谈判文件在济钢集团有限公司阳光购销平台（网址：</w:t>
      </w:r>
      <w:r>
        <w:rPr>
          <w:rFonts w:hint="eastAsia" w:ascii="宋体" w:hAnsi="宋体" w:eastAsia="宋体" w:cs="仿宋"/>
          <w:sz w:val="24"/>
          <w:szCs w:val="24"/>
          <w:lang w:val="en-US" w:eastAsia="zh-CN" w:bidi="ar-SA"/>
        </w:rPr>
        <w:fldChar w:fldCharType="begin"/>
      </w:r>
      <w:r>
        <w:rPr>
          <w:rFonts w:hint="eastAsia" w:ascii="宋体" w:hAnsi="宋体" w:eastAsia="宋体" w:cs="仿宋"/>
          <w:sz w:val="24"/>
          <w:szCs w:val="24"/>
          <w:lang w:val="en-US" w:eastAsia="zh-CN" w:bidi="ar-SA"/>
        </w:rPr>
        <w:instrText xml:space="preserve"> HYPERLINK "http://bidding.jigang.com.cn" </w:instrText>
      </w:r>
      <w:r>
        <w:rPr>
          <w:rFonts w:hint="eastAsia" w:ascii="宋体" w:hAnsi="宋体" w:eastAsia="宋体" w:cs="仿宋"/>
          <w:sz w:val="24"/>
          <w:szCs w:val="24"/>
          <w:lang w:val="en-US" w:eastAsia="zh-CN" w:bidi="ar-SA"/>
        </w:rPr>
        <w:fldChar w:fldCharType="separate"/>
      </w:r>
      <w:r>
        <w:rPr>
          <w:rFonts w:hint="eastAsia" w:ascii="宋体" w:hAnsi="宋体" w:eastAsia="宋体" w:cs="仿宋"/>
          <w:sz w:val="24"/>
          <w:szCs w:val="24"/>
          <w:lang w:val="en-US" w:eastAsia="zh-CN" w:bidi="ar-SA"/>
        </w:rPr>
        <w:t>http://bidding.jigang.com.cn</w:t>
      </w:r>
      <w:r>
        <w:rPr>
          <w:rFonts w:hint="eastAsia" w:ascii="宋体" w:hAnsi="宋体" w:eastAsia="宋体" w:cs="仿宋"/>
          <w:sz w:val="24"/>
          <w:szCs w:val="24"/>
          <w:lang w:val="en-US" w:eastAsia="zh-CN" w:bidi="ar-SA"/>
        </w:rPr>
        <w:fldChar w:fldCharType="end"/>
      </w:r>
      <w:r>
        <w:rPr>
          <w:rFonts w:hint="eastAsia" w:ascii="宋体" w:hAnsi="宋体" w:eastAsia="宋体" w:cs="仿宋"/>
          <w:sz w:val="24"/>
          <w:szCs w:val="24"/>
          <w:lang w:val="en-US" w:eastAsia="zh-CN" w:bidi="ar-SA"/>
        </w:rPr>
        <w:t>/） 上发布。除上述媒介以外的媒介转载或发布与本次谈判相关信息的，采购人不承担任何责任并保留追究相关方责任的权利。</w:t>
      </w:r>
    </w:p>
    <w:p w14:paraId="307779C1">
      <w:pPr>
        <w:pStyle w:val="32"/>
      </w:pPr>
      <w:bookmarkStart w:id="48" w:name="_Toc507936026"/>
      <w:bookmarkStart w:id="49" w:name="_Toc506105831"/>
      <w:r>
        <w:rPr>
          <w:rFonts w:hint="eastAsia"/>
        </w:rPr>
        <w:t xml:space="preserve">2.2 </w:t>
      </w:r>
      <w:r>
        <w:rPr>
          <w:rFonts w:hint="eastAsia"/>
          <w:lang w:val="en-US" w:eastAsia="zh-CN"/>
        </w:rPr>
        <w:t>谈判</w:t>
      </w:r>
      <w:r>
        <w:rPr>
          <w:rFonts w:hint="eastAsia"/>
        </w:rPr>
        <w:t>文件的澄清</w:t>
      </w:r>
      <w:bookmarkEnd w:id="48"/>
      <w:bookmarkEnd w:id="49"/>
    </w:p>
    <w:p w14:paraId="48A34CDC">
      <w:pPr>
        <w:spacing w:line="360" w:lineRule="auto"/>
        <w:ind w:firstLine="480" w:firstLineChars="200"/>
        <w:rPr>
          <w:rFonts w:hint="eastAsia" w:ascii="宋体" w:hAnsi="宋体"/>
          <w:sz w:val="24"/>
        </w:rPr>
      </w:pPr>
      <w:bookmarkStart w:id="50" w:name="_Toc507936027"/>
      <w:bookmarkStart w:id="51" w:name="_Toc506105832"/>
      <w:r>
        <w:rPr>
          <w:rFonts w:hint="eastAsia" w:ascii="宋体" w:hAnsi="宋体"/>
          <w:sz w:val="24"/>
        </w:rPr>
        <w:t>2.2.1 供应商应仔细阅读和检查竞争性谈判文件的全部内容。如发现缺页或附件不全，应及时向采购人或代理机构提出，以便补齐。如有疑问</w:t>
      </w:r>
      <w:r>
        <w:rPr>
          <w:rFonts w:hint="eastAsia"/>
          <w:sz w:val="24"/>
          <w:lang w:eastAsia="zh-CN"/>
        </w:rPr>
        <w:t>、</w:t>
      </w:r>
      <w:r>
        <w:rPr>
          <w:rFonts w:hint="eastAsia"/>
          <w:sz w:val="24"/>
          <w:lang w:val="en-US" w:eastAsia="zh-CN"/>
        </w:rPr>
        <w:t>异议</w:t>
      </w:r>
      <w:r>
        <w:rPr>
          <w:rFonts w:hint="eastAsia" w:ascii="宋体" w:hAnsi="宋体"/>
          <w:sz w:val="24"/>
        </w:rPr>
        <w:t>，应在</w:t>
      </w:r>
      <w:r>
        <w:rPr>
          <w:rFonts w:hint="eastAsia" w:cs="仿宋"/>
          <w:sz w:val="24"/>
          <w:lang w:val="en-US" w:eastAsia="zh-CN"/>
        </w:rPr>
        <w:t>谈判截止</w:t>
      </w:r>
      <w:r>
        <w:rPr>
          <w:rFonts w:hint="eastAsia" w:ascii="宋体" w:hAnsi="宋体" w:cs="仿宋"/>
          <w:sz w:val="24"/>
        </w:rPr>
        <w:t>时间</w:t>
      </w:r>
      <w:r>
        <w:rPr>
          <w:rFonts w:hint="eastAsia" w:cs="仿宋"/>
          <w:color w:val="auto"/>
          <w:sz w:val="24"/>
          <w:lang w:val="en-US" w:eastAsia="zh-CN"/>
        </w:rPr>
        <w:t>2</w:t>
      </w:r>
      <w:r>
        <w:rPr>
          <w:rFonts w:hint="eastAsia" w:ascii="宋体" w:hAnsi="宋体" w:cs="仿宋"/>
          <w:sz w:val="24"/>
        </w:rPr>
        <w:t>天前</w:t>
      </w:r>
      <w:r>
        <w:rPr>
          <w:rFonts w:hint="eastAsia" w:ascii="宋体" w:hAnsi="宋体"/>
          <w:sz w:val="24"/>
        </w:rPr>
        <w:t>以书面形式要求采购人对竞争性谈判文件予以澄清。</w:t>
      </w:r>
    </w:p>
    <w:p w14:paraId="7DECD41A">
      <w:pPr>
        <w:spacing w:line="360" w:lineRule="auto"/>
        <w:ind w:firstLine="480" w:firstLineChars="200"/>
        <w:rPr>
          <w:rFonts w:hint="eastAsia" w:ascii="宋体" w:hAnsi="宋体"/>
          <w:sz w:val="24"/>
        </w:rPr>
      </w:pPr>
      <w:r>
        <w:rPr>
          <w:rFonts w:hint="eastAsia" w:ascii="宋体" w:hAnsi="宋体"/>
          <w:sz w:val="24"/>
        </w:rPr>
        <w:t>2.2.2 竞争性谈判文件的澄清将在供应商须知前附表规定的报价截止时间前以书面形式发给所有购买竞争性谈判文件的供应商，但不指明澄清问题的来源。如果澄清发出的时间距报价截止时间不足，相应延长报价截止时间。</w:t>
      </w:r>
    </w:p>
    <w:p w14:paraId="3CB8C367">
      <w:pPr>
        <w:spacing w:line="360" w:lineRule="auto"/>
        <w:ind w:firstLine="480" w:firstLineChars="200"/>
        <w:rPr>
          <w:rFonts w:hint="eastAsia" w:ascii="宋体" w:hAnsi="宋体"/>
          <w:sz w:val="24"/>
        </w:rPr>
      </w:pPr>
      <w:r>
        <w:rPr>
          <w:rFonts w:hint="eastAsia" w:ascii="宋体" w:hAnsi="宋体"/>
          <w:sz w:val="24"/>
        </w:rPr>
        <w:t>2.2.3 供应商在收到澄清后，应在供应商须知前附表规定的时间内以书面形式通知采购人/代理机构，确认已收到该澄清。</w:t>
      </w:r>
    </w:p>
    <w:p w14:paraId="54EF1CA9">
      <w:pPr>
        <w:pStyle w:val="32"/>
      </w:pPr>
      <w:r>
        <w:rPr>
          <w:rFonts w:hint="eastAsia"/>
        </w:rPr>
        <w:t xml:space="preserve">2.3 </w:t>
      </w:r>
      <w:bookmarkEnd w:id="50"/>
      <w:bookmarkEnd w:id="51"/>
      <w:r>
        <w:rPr>
          <w:rFonts w:hint="eastAsia" w:ascii="Arial" w:hAnsi="Arial" w:cs="Times New Roman"/>
          <w:b w:val="0"/>
          <w:bCs w:val="0"/>
          <w:lang w:val="en-US" w:eastAsia="zh-CN"/>
        </w:rPr>
        <w:t>竞争性谈判文件的修改</w:t>
      </w:r>
    </w:p>
    <w:p w14:paraId="379F587B">
      <w:pPr>
        <w:spacing w:line="360" w:lineRule="auto"/>
        <w:ind w:firstLine="480" w:firstLineChars="200"/>
        <w:rPr>
          <w:rFonts w:hint="eastAsia" w:ascii="宋体" w:hAnsi="宋体"/>
          <w:sz w:val="24"/>
        </w:rPr>
      </w:pPr>
      <w:r>
        <w:rPr>
          <w:rFonts w:hint="eastAsia" w:ascii="宋体" w:hAnsi="宋体"/>
          <w:sz w:val="24"/>
        </w:rPr>
        <w:t>2.3.1 在报价截止时间前，采购人可以书面形式修改竞争性谈判文件，并通知所有已购买竞争性谈判文件的供应商。</w:t>
      </w:r>
    </w:p>
    <w:p w14:paraId="73B18921">
      <w:pPr>
        <w:spacing w:line="360" w:lineRule="auto"/>
        <w:ind w:firstLine="480" w:firstLineChars="200"/>
        <w:jc w:val="left"/>
        <w:rPr>
          <w:rFonts w:ascii="宋体" w:hAnsi="宋体" w:cs="仿宋"/>
          <w:sz w:val="24"/>
        </w:rPr>
      </w:pPr>
      <w:r>
        <w:rPr>
          <w:rFonts w:hint="eastAsia" w:ascii="宋体" w:hAnsi="宋体"/>
          <w:sz w:val="24"/>
        </w:rPr>
        <w:t>2.3.2 供应商收到修改内容后，应在供应商须知前附表规定的时间内以书面形式通知采购人/代理机构，确认已收到该修改。</w:t>
      </w:r>
    </w:p>
    <w:p w14:paraId="15D4FDCD">
      <w:pPr>
        <w:spacing w:line="360" w:lineRule="auto"/>
        <w:jc w:val="center"/>
        <w:rPr>
          <w:rStyle w:val="19"/>
          <w:rFonts w:hint="eastAsia" w:ascii="宋体" w:hAnsi="宋体"/>
          <w:b/>
        </w:rPr>
      </w:pPr>
      <w:r>
        <w:rPr>
          <w:rStyle w:val="19"/>
          <w:rFonts w:hint="eastAsia" w:ascii="宋体" w:hAnsi="宋体"/>
          <w:b/>
        </w:rPr>
        <w:t>3、</w:t>
      </w:r>
      <w:r>
        <w:rPr>
          <w:rStyle w:val="19"/>
          <w:rFonts w:hint="eastAsia" w:eastAsia="宋体"/>
          <w:b/>
          <w:lang w:val="en-US" w:eastAsia="zh-CN"/>
        </w:rPr>
        <w:t>响应</w:t>
      </w:r>
      <w:r>
        <w:rPr>
          <w:rStyle w:val="19"/>
          <w:rFonts w:hint="eastAsia" w:ascii="宋体" w:hAnsi="宋体"/>
          <w:b/>
        </w:rPr>
        <w:t>文件</w:t>
      </w:r>
    </w:p>
    <w:p w14:paraId="7244ADCC">
      <w:pPr>
        <w:pStyle w:val="32"/>
      </w:pPr>
      <w:bookmarkStart w:id="52" w:name="_Toc506105835"/>
      <w:bookmarkStart w:id="53" w:name="_Toc507936029"/>
      <w:r>
        <w:rPr>
          <w:rFonts w:hint="eastAsia"/>
        </w:rPr>
        <w:t xml:space="preserve">3.1 </w:t>
      </w:r>
      <w:r>
        <w:rPr>
          <w:rFonts w:hint="eastAsia"/>
          <w:lang w:val="en-US" w:eastAsia="zh-CN"/>
        </w:rPr>
        <w:t>响应</w:t>
      </w:r>
      <w:r>
        <w:rPr>
          <w:rFonts w:hint="eastAsia"/>
        </w:rPr>
        <w:t>文件的组成</w:t>
      </w:r>
      <w:bookmarkEnd w:id="52"/>
      <w:bookmarkEnd w:id="53"/>
    </w:p>
    <w:p w14:paraId="4B4393C0">
      <w:pPr>
        <w:pStyle w:val="32"/>
        <w:tabs>
          <w:tab w:val="clear" w:pos="851"/>
        </w:tabs>
        <w:ind w:left="491" w:leftChars="0" w:hanging="491" w:firstLineChars="0"/>
        <w:rPr>
          <w:rFonts w:hint="eastAsia" w:ascii="Arial" w:hAnsi="Arial" w:cs="Times New Roman"/>
          <w:b w:val="0"/>
          <w:bCs w:val="0"/>
        </w:rPr>
      </w:pPr>
      <w:r>
        <w:rPr>
          <w:rFonts w:hint="eastAsia" w:ascii="Arial" w:hAnsi="Arial" w:cs="Times New Roman"/>
          <w:b w:val="0"/>
          <w:bCs w:val="0"/>
        </w:rPr>
        <w:t xml:space="preserve">3.1 </w:t>
      </w:r>
      <w:r>
        <w:rPr>
          <w:rFonts w:hint="eastAsia" w:ascii="宋体" w:hAnsi="宋体" w:eastAsia="宋体" w:cs="宋体"/>
          <w:b w:val="0"/>
          <w:bCs w:val="0"/>
          <w:sz w:val="24"/>
          <w:szCs w:val="24"/>
          <w:lang w:val="en-US" w:eastAsia="zh-CN" w:bidi="ar-SA"/>
        </w:rPr>
        <w:t>供应商在谈判过程中作出的符合法律法规和谈判文件规定的澄清确认，构成响应文件的组成部分。</w:t>
      </w:r>
    </w:p>
    <w:p w14:paraId="2E4C1D80">
      <w:pPr>
        <w:pStyle w:val="32"/>
      </w:pPr>
      <w:bookmarkStart w:id="54" w:name="_Toc507936030"/>
      <w:bookmarkStart w:id="55" w:name="_Toc506105836"/>
      <w:bookmarkStart w:id="56" w:name="_Toc406766394"/>
      <w:r>
        <w:rPr>
          <w:rFonts w:hint="eastAsia"/>
        </w:rPr>
        <w:t>3.2 报价</w:t>
      </w:r>
      <w:bookmarkEnd w:id="54"/>
      <w:bookmarkEnd w:id="55"/>
      <w:bookmarkEnd w:id="56"/>
    </w:p>
    <w:p w14:paraId="12E5D47C">
      <w:pPr>
        <w:spacing w:line="360" w:lineRule="auto"/>
        <w:ind w:firstLine="480" w:firstLineChars="200"/>
        <w:rPr>
          <w:rFonts w:hint="eastAsia" w:ascii="宋体" w:hAnsi="宋体" w:eastAsia="宋体" w:cs="仿宋"/>
          <w:sz w:val="24"/>
          <w:lang w:val="en-US" w:eastAsia="zh-CN"/>
        </w:rPr>
      </w:pPr>
      <w:r>
        <w:rPr>
          <w:rFonts w:hint="eastAsia" w:ascii="宋体" w:hAnsi="宋体" w:cs="仿宋"/>
          <w:sz w:val="24"/>
        </w:rPr>
        <w:t xml:space="preserve">3.2.1 </w:t>
      </w:r>
      <w:r>
        <w:rPr>
          <w:rFonts w:hint="eastAsia" w:ascii="宋体" w:hAnsi="宋体" w:cs="宋体"/>
          <w:color w:val="auto"/>
          <w:sz w:val="24"/>
        </w:rPr>
        <w:t>报价币种</w:t>
      </w:r>
      <w:r>
        <w:rPr>
          <w:rFonts w:hint="eastAsia" w:cs="宋体"/>
          <w:color w:val="auto"/>
          <w:sz w:val="24"/>
          <w:lang w:eastAsia="zh-CN"/>
        </w:rPr>
        <w:t>：</w:t>
      </w:r>
      <w:r>
        <w:rPr>
          <w:rFonts w:hint="eastAsia" w:ascii="宋体" w:hAnsi="宋体" w:cs="宋体"/>
          <w:color w:val="auto"/>
          <w:sz w:val="24"/>
        </w:rPr>
        <w:t>人民币</w:t>
      </w:r>
      <w:r>
        <w:rPr>
          <w:rFonts w:hint="eastAsia" w:cs="宋体"/>
          <w:color w:val="auto"/>
          <w:sz w:val="24"/>
          <w:lang w:eastAsia="zh-CN"/>
        </w:rPr>
        <w:t>；</w:t>
      </w:r>
      <w:r>
        <w:rPr>
          <w:rFonts w:hint="eastAsia" w:cs="宋体"/>
          <w:sz w:val="24"/>
          <w:lang w:val="en-US" w:eastAsia="zh-CN"/>
        </w:rPr>
        <w:t>报价</w:t>
      </w:r>
      <w:r>
        <w:rPr>
          <w:rFonts w:hint="eastAsia" w:ascii="宋体" w:hAnsi="宋体" w:cs="宋体"/>
          <w:sz w:val="24"/>
        </w:rPr>
        <w:t>为</w:t>
      </w:r>
      <w:r>
        <w:rPr>
          <w:rFonts w:hint="eastAsia" w:cs="宋体"/>
          <w:sz w:val="24"/>
          <w:lang w:val="en-US" w:eastAsia="zh-CN"/>
        </w:rPr>
        <w:t>含</w:t>
      </w:r>
      <w:r>
        <w:rPr>
          <w:rFonts w:hint="eastAsia" w:ascii="宋体" w:hAnsi="宋体" w:cs="宋体"/>
          <w:sz w:val="24"/>
        </w:rPr>
        <w:t>增值税价格</w:t>
      </w:r>
      <w:r>
        <w:rPr>
          <w:rFonts w:hint="eastAsia" w:cs="宋体"/>
          <w:sz w:val="24"/>
          <w:lang w:eastAsia="zh-CN"/>
        </w:rPr>
        <w:t>。</w:t>
      </w:r>
    </w:p>
    <w:p w14:paraId="762DB0CD">
      <w:pPr>
        <w:spacing w:line="360" w:lineRule="auto"/>
        <w:ind w:firstLine="480" w:firstLineChars="200"/>
        <w:rPr>
          <w:rFonts w:ascii="宋体" w:hAnsi="宋体" w:cs="仿宋"/>
          <w:sz w:val="24"/>
        </w:rPr>
      </w:pPr>
      <w:r>
        <w:rPr>
          <w:rFonts w:hint="eastAsia" w:ascii="宋体" w:hAnsi="宋体" w:cs="仿宋"/>
          <w:sz w:val="24"/>
        </w:rPr>
        <w:t xml:space="preserve">3.2.2 </w:t>
      </w:r>
      <w:r>
        <w:rPr>
          <w:rFonts w:hint="eastAsia" w:cs="仿宋"/>
          <w:sz w:val="24"/>
          <w:lang w:val="en-US" w:eastAsia="zh-CN"/>
        </w:rPr>
        <w:t>供应商</w:t>
      </w:r>
      <w:r>
        <w:rPr>
          <w:rFonts w:hint="eastAsia" w:ascii="宋体" w:hAnsi="宋体" w:cs="仿宋"/>
          <w:sz w:val="24"/>
        </w:rPr>
        <w:t>在</w:t>
      </w:r>
      <w:r>
        <w:rPr>
          <w:rFonts w:hint="eastAsia" w:cs="仿宋"/>
          <w:sz w:val="24"/>
          <w:lang w:val="en-US" w:eastAsia="zh-CN"/>
        </w:rPr>
        <w:t>谈判开始</w:t>
      </w:r>
      <w:r>
        <w:rPr>
          <w:rFonts w:hint="eastAsia" w:ascii="宋体" w:hAnsi="宋体" w:cs="仿宋"/>
          <w:sz w:val="24"/>
        </w:rPr>
        <w:t>时间前修改</w:t>
      </w:r>
      <w:r>
        <w:rPr>
          <w:rFonts w:hint="eastAsia" w:cs="仿宋"/>
          <w:sz w:val="24"/>
          <w:lang w:val="en-US" w:eastAsia="zh-CN"/>
        </w:rPr>
        <w:t>报价</w:t>
      </w:r>
      <w:r>
        <w:rPr>
          <w:rFonts w:hint="eastAsia" w:ascii="宋体" w:hAnsi="宋体" w:cs="仿宋"/>
          <w:sz w:val="24"/>
        </w:rPr>
        <w:t>函中的总报价，应同时修改“报价组成表”中的相应价格。此修改须符合本章第4.3款的有关规定。　</w:t>
      </w:r>
    </w:p>
    <w:p w14:paraId="3C2FE817">
      <w:pPr>
        <w:pStyle w:val="32"/>
      </w:pPr>
      <w:bookmarkStart w:id="57" w:name="_Toc406766395"/>
      <w:bookmarkStart w:id="58" w:name="_Toc507936031"/>
      <w:bookmarkStart w:id="59" w:name="_Toc506105837"/>
      <w:r>
        <w:rPr>
          <w:rFonts w:hint="eastAsia"/>
        </w:rPr>
        <w:t xml:space="preserve">3.3 </w:t>
      </w:r>
      <w:r>
        <w:rPr>
          <w:rFonts w:hint="eastAsia"/>
          <w:lang w:val="en-US" w:eastAsia="zh-CN"/>
        </w:rPr>
        <w:t>谈判</w:t>
      </w:r>
      <w:r>
        <w:rPr>
          <w:rFonts w:hint="eastAsia"/>
        </w:rPr>
        <w:t>有效期</w:t>
      </w:r>
      <w:bookmarkEnd w:id="57"/>
      <w:bookmarkEnd w:id="58"/>
      <w:bookmarkEnd w:id="59"/>
    </w:p>
    <w:p w14:paraId="77C1BE81">
      <w:pPr>
        <w:spacing w:line="360" w:lineRule="auto"/>
        <w:ind w:firstLine="480" w:firstLineChars="200"/>
        <w:rPr>
          <w:rFonts w:hint="eastAsia" w:ascii="宋体" w:hAnsi="宋体"/>
          <w:sz w:val="24"/>
        </w:rPr>
      </w:pPr>
      <w:r>
        <w:rPr>
          <w:rFonts w:hint="eastAsia" w:ascii="宋体" w:hAnsi="宋体" w:cs="仿宋"/>
          <w:sz w:val="24"/>
        </w:rPr>
        <w:t>3.3.1</w:t>
      </w:r>
      <w:r>
        <w:rPr>
          <w:rFonts w:hint="eastAsia" w:cs="仿宋"/>
          <w:sz w:val="24"/>
          <w:lang w:val="en-US" w:eastAsia="zh-CN"/>
        </w:rPr>
        <w:t>谈判</w:t>
      </w:r>
      <w:r>
        <w:rPr>
          <w:rFonts w:hint="eastAsia" w:ascii="宋体" w:hAnsi="宋体" w:cs="仿宋"/>
          <w:sz w:val="24"/>
        </w:rPr>
        <w:t>有效期：</w:t>
      </w:r>
      <w:r>
        <w:rPr>
          <w:rFonts w:hint="eastAsia" w:ascii="宋体" w:hAnsi="宋体"/>
          <w:sz w:val="24"/>
        </w:rPr>
        <w:t>在供应商须知前附表规定的报价有效期内，供应商不得要求撤销或修改其响应文件。</w:t>
      </w:r>
    </w:p>
    <w:p w14:paraId="3FA7592D">
      <w:pPr>
        <w:spacing w:line="360" w:lineRule="auto"/>
        <w:ind w:firstLine="480" w:firstLineChars="200"/>
        <w:rPr>
          <w:rFonts w:ascii="宋体" w:hAnsi="宋体" w:cs="仿宋"/>
          <w:sz w:val="24"/>
        </w:rPr>
      </w:pPr>
      <w:r>
        <w:rPr>
          <w:rFonts w:hint="eastAsia" w:ascii="宋体" w:hAnsi="宋体" w:cs="仿宋"/>
          <w:sz w:val="24"/>
        </w:rPr>
        <w:t>3.3.2 出现特殊情况需要延长</w:t>
      </w:r>
      <w:r>
        <w:rPr>
          <w:rFonts w:hint="eastAsia" w:cs="仿宋"/>
          <w:sz w:val="24"/>
          <w:lang w:val="en-US" w:eastAsia="zh-CN"/>
        </w:rPr>
        <w:t>谈判</w:t>
      </w:r>
      <w:r>
        <w:rPr>
          <w:rFonts w:hint="eastAsia" w:ascii="宋体" w:hAnsi="宋体" w:cs="仿宋"/>
          <w:sz w:val="24"/>
        </w:rPr>
        <w:t>有效期的，</w:t>
      </w:r>
      <w:r>
        <w:rPr>
          <w:rFonts w:hint="eastAsia" w:cs="仿宋"/>
          <w:sz w:val="24"/>
          <w:lang w:val="en-US" w:eastAsia="zh-CN"/>
        </w:rPr>
        <w:t>采购</w:t>
      </w:r>
      <w:r>
        <w:rPr>
          <w:rFonts w:hint="eastAsia" w:ascii="宋体" w:hAnsi="宋体" w:cs="仿宋"/>
          <w:sz w:val="24"/>
        </w:rPr>
        <w:t>人以书面形式通知所有</w:t>
      </w:r>
      <w:r>
        <w:rPr>
          <w:rFonts w:hint="eastAsia" w:cs="仿宋"/>
          <w:sz w:val="24"/>
          <w:lang w:val="en-US" w:eastAsia="zh-CN"/>
        </w:rPr>
        <w:t>供应商</w:t>
      </w:r>
      <w:r>
        <w:rPr>
          <w:rFonts w:hint="eastAsia" w:ascii="宋体" w:hAnsi="宋体" w:cs="仿宋"/>
          <w:sz w:val="24"/>
        </w:rPr>
        <w:t>延长</w:t>
      </w:r>
      <w:r>
        <w:rPr>
          <w:rFonts w:hint="eastAsia" w:cs="仿宋"/>
          <w:sz w:val="24"/>
          <w:lang w:val="en-US" w:eastAsia="zh-CN"/>
        </w:rPr>
        <w:t>谈判</w:t>
      </w:r>
      <w:r>
        <w:rPr>
          <w:rFonts w:hint="eastAsia" w:ascii="宋体" w:hAnsi="宋体" w:cs="仿宋"/>
          <w:sz w:val="24"/>
        </w:rPr>
        <w:t>有效期。</w:t>
      </w:r>
      <w:r>
        <w:rPr>
          <w:rFonts w:hint="eastAsia" w:cs="仿宋"/>
          <w:sz w:val="24"/>
          <w:lang w:val="en-US" w:eastAsia="zh-CN"/>
        </w:rPr>
        <w:t>供应商</w:t>
      </w:r>
      <w:r>
        <w:rPr>
          <w:rFonts w:hint="eastAsia" w:ascii="宋体" w:hAnsi="宋体" w:cs="仿宋"/>
          <w:sz w:val="24"/>
        </w:rPr>
        <w:t>同意延长的，应相应延长其</w:t>
      </w:r>
      <w:r>
        <w:rPr>
          <w:rFonts w:hint="eastAsia" w:cs="仿宋"/>
          <w:sz w:val="24"/>
          <w:lang w:val="en-US" w:eastAsia="zh-CN"/>
        </w:rPr>
        <w:t>谈判</w:t>
      </w:r>
      <w:r>
        <w:rPr>
          <w:rFonts w:hint="eastAsia" w:ascii="宋体" w:hAnsi="宋体" w:cs="仿宋"/>
          <w:sz w:val="24"/>
        </w:rPr>
        <w:t>保证金的有效期，但不得要求或被允许修改或撤销其</w:t>
      </w:r>
      <w:r>
        <w:rPr>
          <w:rFonts w:hint="eastAsia" w:cs="仿宋"/>
          <w:sz w:val="24"/>
          <w:lang w:val="en-US" w:eastAsia="zh-CN"/>
        </w:rPr>
        <w:t>响应</w:t>
      </w:r>
      <w:r>
        <w:rPr>
          <w:rFonts w:hint="eastAsia" w:ascii="宋体" w:hAnsi="宋体" w:cs="仿宋"/>
          <w:sz w:val="24"/>
        </w:rPr>
        <w:t>文件；</w:t>
      </w:r>
      <w:r>
        <w:rPr>
          <w:rFonts w:hint="eastAsia" w:cs="仿宋"/>
          <w:sz w:val="24"/>
          <w:lang w:val="en-US" w:eastAsia="zh-CN"/>
        </w:rPr>
        <w:t>供应商</w:t>
      </w:r>
      <w:r>
        <w:rPr>
          <w:rFonts w:hint="eastAsia" w:ascii="宋体" w:hAnsi="宋体" w:cs="仿宋"/>
          <w:sz w:val="24"/>
        </w:rPr>
        <w:t>拒绝延长的，其</w:t>
      </w:r>
      <w:r>
        <w:rPr>
          <w:rFonts w:hint="eastAsia" w:cs="仿宋"/>
          <w:sz w:val="24"/>
          <w:lang w:val="en-US" w:eastAsia="zh-CN"/>
        </w:rPr>
        <w:t>响应文件</w:t>
      </w:r>
      <w:r>
        <w:rPr>
          <w:rFonts w:hint="eastAsia" w:ascii="宋体" w:hAnsi="宋体" w:cs="仿宋"/>
          <w:sz w:val="24"/>
        </w:rPr>
        <w:t>失效，但</w:t>
      </w:r>
      <w:r>
        <w:rPr>
          <w:rFonts w:hint="eastAsia" w:cs="仿宋"/>
          <w:sz w:val="24"/>
          <w:lang w:val="en-US" w:eastAsia="zh-CN"/>
        </w:rPr>
        <w:t>供应商</w:t>
      </w:r>
      <w:r>
        <w:rPr>
          <w:rFonts w:hint="eastAsia" w:ascii="宋体" w:hAnsi="宋体" w:cs="仿宋"/>
          <w:sz w:val="24"/>
        </w:rPr>
        <w:t>有权收回其</w:t>
      </w:r>
      <w:r>
        <w:rPr>
          <w:rFonts w:hint="eastAsia" w:cs="仿宋"/>
          <w:sz w:val="24"/>
          <w:lang w:val="en-US" w:eastAsia="zh-CN"/>
        </w:rPr>
        <w:t>谈判</w:t>
      </w:r>
      <w:r>
        <w:rPr>
          <w:rFonts w:hint="eastAsia" w:ascii="宋体" w:hAnsi="宋体" w:cs="仿宋"/>
          <w:sz w:val="24"/>
        </w:rPr>
        <w:t>保证金。</w:t>
      </w:r>
    </w:p>
    <w:p w14:paraId="5924F074">
      <w:pPr>
        <w:pStyle w:val="32"/>
        <w:rPr>
          <w:rFonts w:hint="eastAsia"/>
        </w:rPr>
      </w:pPr>
      <w:bookmarkStart w:id="60" w:name="_Toc506105838"/>
      <w:bookmarkStart w:id="61" w:name="_Toc406766396"/>
      <w:bookmarkStart w:id="62" w:name="_Toc507936032"/>
      <w:r>
        <w:rPr>
          <w:rFonts w:hint="eastAsia"/>
        </w:rPr>
        <w:t xml:space="preserve">3.4 </w:t>
      </w:r>
      <w:r>
        <w:rPr>
          <w:rFonts w:hint="eastAsia"/>
          <w:lang w:val="en-US" w:eastAsia="zh-CN"/>
        </w:rPr>
        <w:t>谈判</w:t>
      </w:r>
      <w:r>
        <w:rPr>
          <w:rFonts w:hint="eastAsia"/>
        </w:rPr>
        <w:t>保证金</w:t>
      </w:r>
      <w:bookmarkEnd w:id="60"/>
      <w:bookmarkEnd w:id="61"/>
      <w:bookmarkEnd w:id="62"/>
    </w:p>
    <w:p w14:paraId="275BD506">
      <w:pPr>
        <w:spacing w:line="360" w:lineRule="auto"/>
        <w:ind w:firstLine="480" w:firstLineChars="200"/>
        <w:rPr>
          <w:rFonts w:hint="eastAsia" w:ascii="宋体" w:hAnsi="宋体" w:eastAsia="宋体" w:cs="仿宋"/>
          <w:sz w:val="24"/>
          <w:lang w:val="en-US" w:eastAsia="zh-CN"/>
        </w:rPr>
      </w:pPr>
      <w:bookmarkStart w:id="63" w:name="_Toc506105839"/>
      <w:bookmarkStart w:id="64" w:name="_Toc507936033"/>
      <w:r>
        <w:rPr>
          <w:rFonts w:hint="eastAsia" w:ascii="宋体" w:hAnsi="宋体" w:eastAsia="宋体" w:cs="仿宋"/>
          <w:sz w:val="24"/>
          <w:lang w:val="en-US" w:eastAsia="zh-CN"/>
        </w:rPr>
        <w:t>3.4.1供应商在递交响应文件的同时，应按谈判须知前附表规定的金额、形式递交谈判保证金，并作为其响应文件的组成部分。以现金或者支票形式提交的保证金，应当从其基本账户转出。联合体报名的，其保证金可以由牵头人递交，并应符合谈判人须知前附表的规定。</w:t>
      </w:r>
    </w:p>
    <w:p w14:paraId="31012CF4">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3.4.2供应商不按本章第3.4.1项要求提交谈判保证金的，评审委员会将否决其报名。</w:t>
      </w:r>
    </w:p>
    <w:p w14:paraId="2A726914">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3.4.3有下列情形之一的，保证金将不予退还：</w:t>
      </w:r>
    </w:p>
    <w:p w14:paraId="4F7A800B">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（1）供应商在报价有效期内撤销响应文件；</w:t>
      </w:r>
    </w:p>
    <w:p w14:paraId="09253E85">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（2）成交单位在收到成交通知书后，无正当理由不与采购人订立合同，在签订合同时向采购人提出附加条件，或者不按照谈判文件要求提交履约保证金；</w:t>
      </w:r>
    </w:p>
    <w:p w14:paraId="2863E525">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（3）发生谈判须知前附表规定的其他可以不予退还保证金的情形。</w:t>
      </w:r>
    </w:p>
    <w:p w14:paraId="7375B74D">
      <w:pPr>
        <w:pStyle w:val="32"/>
        <w:rPr>
          <w:rFonts w:hint="eastAsia" w:ascii="Arial" w:hAnsi="Arial" w:cs="Times New Roman"/>
          <w:b w:val="0"/>
          <w:bCs w:val="0"/>
          <w:lang w:val="en-US" w:eastAsia="zh-CN"/>
        </w:rPr>
      </w:pPr>
      <w:r>
        <w:rPr>
          <w:rFonts w:hint="eastAsia" w:ascii="Arial" w:hAnsi="Arial" w:cs="Times New Roman"/>
          <w:b w:val="0"/>
          <w:bCs w:val="0"/>
          <w:lang w:val="en-US" w:eastAsia="zh-CN"/>
        </w:rPr>
        <w:t>3.5 资格审查资料</w:t>
      </w:r>
      <w:bookmarkEnd w:id="63"/>
      <w:bookmarkEnd w:id="64"/>
    </w:p>
    <w:p w14:paraId="7ACB3949">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除谈判须知前附表另有规定外，供应商应按下列规定提供资格审查资料，以证明其满足本章第1.4款规定的资质、财务、业绩、信誉等要求。</w:t>
      </w:r>
    </w:p>
    <w:p w14:paraId="3D7ADDC9">
      <w:pPr>
        <w:spacing w:line="360" w:lineRule="auto"/>
        <w:ind w:firstLine="480" w:firstLineChars="200"/>
        <w:rPr>
          <w:rFonts w:hint="eastAsia" w:ascii="仿宋" w:hAnsi="仿宋" w:eastAsia="宋体" w:cs="Times New Roman"/>
          <w:sz w:val="28"/>
          <w:szCs w:val="28"/>
          <w:lang w:eastAsia="zh-CN"/>
        </w:rPr>
      </w:pPr>
      <w:r>
        <w:rPr>
          <w:rFonts w:hint="eastAsia" w:ascii="宋体" w:hAnsi="宋体" w:eastAsia="宋体" w:cs="仿宋"/>
          <w:sz w:val="24"/>
          <w:lang w:val="en-US" w:eastAsia="zh-CN"/>
        </w:rPr>
        <w:t>3.5.1 “供应商基本情况表”</w:t>
      </w:r>
      <w:r>
        <w:rPr>
          <w:rFonts w:ascii="宋体" w:hAnsi="宋体" w:eastAsia="宋体"/>
          <w:kern w:val="0"/>
          <w:szCs w:val="21"/>
        </w:rPr>
        <w:t>应附</w:t>
      </w:r>
      <w:r>
        <w:rPr>
          <w:rFonts w:hint="eastAsia" w:ascii="宋体" w:hAnsi="宋体" w:eastAsia="宋体"/>
          <w:kern w:val="0"/>
          <w:szCs w:val="21"/>
          <w:lang w:val="en-US" w:eastAsia="zh-CN"/>
        </w:rPr>
        <w:t>营业执照、</w:t>
      </w:r>
      <w:r>
        <w:rPr>
          <w:rFonts w:ascii="宋体" w:hAnsi="宋体" w:eastAsia="宋体"/>
          <w:kern w:val="0"/>
          <w:szCs w:val="21"/>
        </w:rPr>
        <w:t>资质证书副本等材料的</w:t>
      </w:r>
      <w:r>
        <w:rPr>
          <w:rFonts w:hint="eastAsia" w:ascii="宋体" w:hAnsi="宋体" w:eastAsia="宋体"/>
          <w:kern w:val="0"/>
          <w:szCs w:val="21"/>
          <w:lang w:eastAsia="zh-CN"/>
        </w:rPr>
        <w:t>原件扫描件。</w:t>
      </w:r>
    </w:p>
    <w:p w14:paraId="5AD508BB">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3.5.2 “近年财务状况表”应附经会计师事务所或审计机构审计的财务会计报表扫描件，具体年份要求见谈判须知前附表。</w:t>
      </w:r>
    </w:p>
    <w:p w14:paraId="24BE187E">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3.5.3“近年完成的业绩情况表”应附合同的原件扫描件，具体时间要求见谈判须知前附表。</w:t>
      </w:r>
    </w:p>
    <w:p w14:paraId="435867EE">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3.5.4“近年发生的诉讼及仲裁情况”应附败诉的买卖合同的相关情况，并附法院或仲裁机构作出的判决、裁决等有关法律文书，具体时间要求见谈判须知前附表。</w:t>
      </w:r>
    </w:p>
    <w:p w14:paraId="7F15171D">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3.5.5供应商认为有必要提供的其他证明文件。</w:t>
      </w:r>
    </w:p>
    <w:p w14:paraId="6E597BFD">
      <w:pPr>
        <w:pStyle w:val="32"/>
        <w:rPr>
          <w:rFonts w:hint="eastAsia" w:ascii="Arial" w:hAnsi="Arial" w:cs="Times New Roman"/>
          <w:b w:val="0"/>
          <w:bCs w:val="0"/>
        </w:rPr>
      </w:pPr>
      <w:bookmarkStart w:id="65" w:name="_Toc507936034"/>
      <w:bookmarkStart w:id="66" w:name="_Toc506105840"/>
      <w:r>
        <w:rPr>
          <w:rFonts w:hint="eastAsia" w:ascii="Arial" w:hAnsi="Arial" w:cs="Times New Roman"/>
          <w:b w:val="0"/>
          <w:bCs w:val="0"/>
        </w:rPr>
        <w:t>3.6 备选方案</w:t>
      </w:r>
      <w:bookmarkEnd w:id="65"/>
      <w:bookmarkEnd w:id="66"/>
    </w:p>
    <w:p w14:paraId="569BC2C1">
      <w:pPr>
        <w:spacing w:line="360" w:lineRule="auto"/>
        <w:ind w:firstLine="480" w:firstLineChars="200"/>
        <w:rPr>
          <w:rFonts w:hint="eastAsia" w:ascii="宋体" w:hAnsi="宋体" w:eastAsia="宋体" w:cs="仿宋"/>
          <w:sz w:val="24"/>
        </w:rPr>
      </w:pPr>
      <w:r>
        <w:rPr>
          <w:rFonts w:hint="eastAsia" w:ascii="宋体" w:hAnsi="宋体" w:eastAsia="宋体" w:cs="仿宋"/>
          <w:sz w:val="24"/>
        </w:rPr>
        <w:t>3.6.1本</w:t>
      </w:r>
      <w:r>
        <w:rPr>
          <w:rFonts w:hint="eastAsia" w:ascii="宋体" w:hAnsi="宋体" w:eastAsia="宋体" w:cs="仿宋"/>
          <w:sz w:val="24"/>
          <w:lang w:val="en-US" w:eastAsia="zh-CN"/>
        </w:rPr>
        <w:t>次谈判</w:t>
      </w:r>
      <w:r>
        <w:rPr>
          <w:rFonts w:hint="eastAsia" w:ascii="宋体" w:hAnsi="宋体" w:eastAsia="宋体" w:cs="仿宋"/>
          <w:sz w:val="24"/>
        </w:rPr>
        <w:t>不接受备选方案。</w:t>
      </w:r>
    </w:p>
    <w:p w14:paraId="78EEA288">
      <w:pPr>
        <w:pStyle w:val="32"/>
      </w:pPr>
      <w:bookmarkStart w:id="67" w:name="_Toc507936035"/>
      <w:bookmarkStart w:id="68" w:name="_Toc506105841"/>
      <w:r>
        <w:rPr>
          <w:rFonts w:hint="eastAsia"/>
        </w:rPr>
        <w:t xml:space="preserve">3.7 </w:t>
      </w:r>
      <w:r>
        <w:rPr>
          <w:rFonts w:hint="eastAsia"/>
          <w:lang w:val="en-US" w:eastAsia="zh-CN"/>
        </w:rPr>
        <w:t>响应</w:t>
      </w:r>
      <w:r>
        <w:rPr>
          <w:rFonts w:hint="eastAsia"/>
        </w:rPr>
        <w:t>文件的编制</w:t>
      </w:r>
      <w:bookmarkEnd w:id="67"/>
      <w:bookmarkEnd w:id="68"/>
    </w:p>
    <w:p w14:paraId="1DAFF322">
      <w:pPr>
        <w:spacing w:line="360" w:lineRule="auto"/>
        <w:ind w:firstLine="480" w:firstLineChars="200"/>
        <w:rPr>
          <w:rFonts w:ascii="宋体" w:hAnsi="宋体" w:cs="仿宋"/>
          <w:sz w:val="24"/>
        </w:rPr>
      </w:pPr>
      <w:r>
        <w:rPr>
          <w:rFonts w:hint="eastAsia" w:ascii="宋体" w:hAnsi="宋体" w:cs="仿宋"/>
          <w:sz w:val="24"/>
        </w:rPr>
        <w:t>3.7.1</w:t>
      </w:r>
      <w:r>
        <w:rPr>
          <w:rFonts w:hint="eastAsia" w:cs="仿宋"/>
          <w:sz w:val="24"/>
          <w:lang w:val="en-US" w:eastAsia="zh-CN"/>
        </w:rPr>
        <w:t>响应</w:t>
      </w:r>
      <w:r>
        <w:rPr>
          <w:rFonts w:hint="eastAsia" w:ascii="宋体" w:hAnsi="宋体" w:cs="仿宋"/>
          <w:sz w:val="24"/>
        </w:rPr>
        <w:t>文件应按《第五章</w:t>
      </w:r>
      <w:r>
        <w:rPr>
          <w:rFonts w:hint="eastAsia" w:cs="仿宋"/>
          <w:sz w:val="24"/>
          <w:lang w:val="en-US" w:eastAsia="zh-CN"/>
        </w:rPr>
        <w:t>响应</w:t>
      </w:r>
      <w:r>
        <w:rPr>
          <w:rFonts w:hint="eastAsia" w:ascii="宋体" w:hAnsi="宋体" w:cs="仿宋"/>
          <w:sz w:val="24"/>
        </w:rPr>
        <w:t>文件格式及内容》要求进行编写。</w:t>
      </w:r>
    </w:p>
    <w:p w14:paraId="5FBE5A21">
      <w:pPr>
        <w:spacing w:line="360" w:lineRule="auto"/>
        <w:ind w:firstLine="480" w:firstLineChars="200"/>
        <w:rPr>
          <w:rFonts w:ascii="宋体" w:hAnsi="宋体" w:cs="仿宋"/>
          <w:sz w:val="24"/>
        </w:rPr>
      </w:pPr>
      <w:r>
        <w:rPr>
          <w:rFonts w:hint="eastAsia" w:ascii="宋体" w:hAnsi="宋体" w:cs="仿宋"/>
          <w:sz w:val="24"/>
        </w:rPr>
        <w:t>3.7.2</w:t>
      </w:r>
      <w:r>
        <w:rPr>
          <w:rFonts w:hint="eastAsia" w:cs="仿宋"/>
          <w:sz w:val="24"/>
          <w:lang w:val="en-US" w:eastAsia="zh-CN"/>
        </w:rPr>
        <w:t>响应</w:t>
      </w:r>
      <w:r>
        <w:rPr>
          <w:rFonts w:hint="eastAsia" w:ascii="宋体" w:hAnsi="宋体" w:cs="仿宋"/>
          <w:sz w:val="24"/>
        </w:rPr>
        <w:t>文件应当对</w:t>
      </w:r>
      <w:r>
        <w:rPr>
          <w:rFonts w:hint="eastAsia" w:cs="仿宋"/>
          <w:sz w:val="24"/>
          <w:lang w:val="en-US" w:eastAsia="zh-CN"/>
        </w:rPr>
        <w:t>谈判</w:t>
      </w:r>
      <w:r>
        <w:rPr>
          <w:rFonts w:hint="eastAsia" w:ascii="宋体" w:hAnsi="宋体" w:cs="仿宋"/>
          <w:sz w:val="24"/>
        </w:rPr>
        <w:t>文件有关交货期、</w:t>
      </w:r>
      <w:r>
        <w:rPr>
          <w:rFonts w:hint="eastAsia" w:cs="仿宋"/>
          <w:sz w:val="24"/>
          <w:lang w:val="en-US" w:eastAsia="zh-CN"/>
        </w:rPr>
        <w:t>谈判</w:t>
      </w:r>
      <w:r>
        <w:rPr>
          <w:rFonts w:hint="eastAsia" w:ascii="宋体" w:hAnsi="宋体" w:cs="仿宋"/>
          <w:sz w:val="24"/>
        </w:rPr>
        <w:t>有效期、质量要求、技术</w:t>
      </w:r>
      <w:r>
        <w:rPr>
          <w:rFonts w:hint="eastAsia" w:cs="仿宋"/>
          <w:sz w:val="24"/>
          <w:lang w:val="en-US" w:eastAsia="zh-CN"/>
        </w:rPr>
        <w:t>标准和</w:t>
      </w:r>
      <w:r>
        <w:rPr>
          <w:rFonts w:hint="eastAsia" w:ascii="宋体" w:hAnsi="宋体" w:cs="仿宋"/>
          <w:sz w:val="24"/>
        </w:rPr>
        <w:t>要求、</w:t>
      </w:r>
      <w:r>
        <w:rPr>
          <w:rFonts w:hint="eastAsia" w:cs="仿宋"/>
          <w:sz w:val="24"/>
          <w:lang w:val="en-US" w:eastAsia="zh-CN"/>
        </w:rPr>
        <w:t>采购</w:t>
      </w:r>
      <w:r>
        <w:rPr>
          <w:rFonts w:hint="eastAsia" w:ascii="宋体" w:hAnsi="宋体" w:cs="仿宋"/>
          <w:sz w:val="24"/>
        </w:rPr>
        <w:t>范围等实质性内容作出响应。</w:t>
      </w:r>
    </w:p>
    <w:p w14:paraId="2BBA011F">
      <w:pPr>
        <w:spacing w:line="360" w:lineRule="auto"/>
        <w:ind w:firstLine="480" w:firstLineChars="200"/>
        <w:rPr>
          <w:rFonts w:ascii="宋体" w:hAnsi="宋体" w:cs="仿宋"/>
          <w:sz w:val="24"/>
        </w:rPr>
      </w:pPr>
      <w:r>
        <w:rPr>
          <w:rFonts w:hint="eastAsia" w:ascii="宋体" w:hAnsi="宋体" w:cs="仿宋"/>
          <w:sz w:val="24"/>
        </w:rPr>
        <w:t>3.7.3</w:t>
      </w:r>
      <w:r>
        <w:rPr>
          <w:rFonts w:hint="eastAsia" w:cs="仿宋"/>
          <w:sz w:val="24"/>
          <w:lang w:val="en-US" w:eastAsia="zh-CN"/>
        </w:rPr>
        <w:t>响应</w:t>
      </w:r>
      <w:r>
        <w:rPr>
          <w:rFonts w:hint="eastAsia" w:ascii="宋体" w:hAnsi="宋体" w:cs="仿宋"/>
          <w:sz w:val="24"/>
        </w:rPr>
        <w:t>文件应用不褪色的材料书写或打印，并由法定代表人或其委托代理人签字或盖</w:t>
      </w:r>
      <w:r>
        <w:rPr>
          <w:rFonts w:hint="eastAsia" w:cs="仿宋"/>
          <w:sz w:val="24"/>
          <w:lang w:val="en-US" w:eastAsia="zh-CN"/>
        </w:rPr>
        <w:t>公</w:t>
      </w:r>
      <w:r>
        <w:rPr>
          <w:rFonts w:hint="eastAsia" w:ascii="宋体" w:hAnsi="宋体" w:cs="仿宋"/>
          <w:sz w:val="24"/>
        </w:rPr>
        <w:t>章。签字或盖章的具体要求见</w:t>
      </w:r>
      <w:r>
        <w:rPr>
          <w:rFonts w:hint="eastAsia" w:cs="仿宋"/>
          <w:sz w:val="24"/>
          <w:lang w:val="en-US" w:eastAsia="zh-CN"/>
        </w:rPr>
        <w:t>谈判</w:t>
      </w:r>
      <w:r>
        <w:rPr>
          <w:rFonts w:hint="eastAsia" w:ascii="宋体" w:hAnsi="宋体" w:cs="仿宋"/>
          <w:sz w:val="24"/>
        </w:rPr>
        <w:t>须知前附表。</w:t>
      </w:r>
    </w:p>
    <w:p w14:paraId="47754615">
      <w:pPr>
        <w:spacing w:line="360" w:lineRule="auto"/>
        <w:ind w:firstLine="480" w:firstLineChars="200"/>
        <w:rPr>
          <w:rFonts w:ascii="宋体" w:hAnsi="宋体" w:cs="仿宋"/>
          <w:sz w:val="24"/>
        </w:rPr>
      </w:pPr>
      <w:r>
        <w:rPr>
          <w:rFonts w:hint="eastAsia" w:ascii="宋体" w:hAnsi="宋体" w:cs="仿宋"/>
          <w:sz w:val="24"/>
        </w:rPr>
        <w:t>3.7.4</w:t>
      </w:r>
      <w:r>
        <w:rPr>
          <w:rFonts w:hint="eastAsia" w:cs="仿宋"/>
          <w:sz w:val="24"/>
          <w:lang w:val="en-US" w:eastAsia="zh-CN"/>
        </w:rPr>
        <w:t>响应</w:t>
      </w:r>
      <w:r>
        <w:rPr>
          <w:rFonts w:hint="eastAsia" w:ascii="宋体" w:hAnsi="宋体" w:cs="仿宋"/>
          <w:sz w:val="24"/>
        </w:rPr>
        <w:t>文件正本和副本的封面上应清楚地标记“正本”或“副本”的字样。当副本和正本不一致时，以正本为准。</w:t>
      </w:r>
    </w:p>
    <w:p w14:paraId="09826EBE">
      <w:pPr>
        <w:spacing w:line="360" w:lineRule="auto"/>
        <w:ind w:firstLine="480" w:firstLineChars="200"/>
        <w:rPr>
          <w:rFonts w:ascii="宋体" w:hAnsi="宋体" w:cs="仿宋"/>
          <w:sz w:val="24"/>
        </w:rPr>
      </w:pPr>
      <w:r>
        <w:rPr>
          <w:rFonts w:hint="eastAsia" w:ascii="宋体" w:hAnsi="宋体" w:cs="仿宋"/>
          <w:sz w:val="24"/>
        </w:rPr>
        <w:t>3.7.5</w:t>
      </w:r>
      <w:r>
        <w:rPr>
          <w:rFonts w:hint="eastAsia" w:cs="仿宋"/>
          <w:sz w:val="24"/>
          <w:lang w:val="en-US" w:eastAsia="zh-CN"/>
        </w:rPr>
        <w:t>响应</w:t>
      </w:r>
      <w:r>
        <w:rPr>
          <w:rFonts w:hint="eastAsia" w:ascii="宋体" w:hAnsi="宋体" w:cs="仿宋"/>
          <w:sz w:val="24"/>
        </w:rPr>
        <w:t>文件的正本与副本应分别装订成册，并编制目录，详见</w:t>
      </w:r>
      <w:r>
        <w:rPr>
          <w:rFonts w:hint="eastAsia" w:cs="仿宋"/>
          <w:sz w:val="24"/>
          <w:lang w:val="en-US" w:eastAsia="zh-CN"/>
        </w:rPr>
        <w:t>谈判</w:t>
      </w:r>
      <w:r>
        <w:rPr>
          <w:rFonts w:hint="eastAsia" w:ascii="宋体" w:hAnsi="宋体" w:cs="仿宋"/>
          <w:sz w:val="24"/>
        </w:rPr>
        <w:t>须知前附表。</w:t>
      </w:r>
    </w:p>
    <w:p w14:paraId="2AD22B70">
      <w:pPr>
        <w:spacing w:line="360" w:lineRule="auto"/>
        <w:jc w:val="center"/>
        <w:rPr>
          <w:rStyle w:val="19"/>
          <w:rFonts w:hint="eastAsia" w:ascii="宋体" w:hAnsi="宋体" w:eastAsia="宋体"/>
          <w:b/>
          <w:lang w:eastAsia="zh-CN"/>
        </w:rPr>
      </w:pPr>
      <w:r>
        <w:rPr>
          <w:rStyle w:val="19"/>
          <w:rFonts w:hint="eastAsia" w:ascii="宋体" w:hAnsi="宋体"/>
          <w:b/>
        </w:rPr>
        <w:t>4.</w:t>
      </w:r>
      <w:r>
        <w:rPr>
          <w:rStyle w:val="19"/>
          <w:rFonts w:hint="eastAsia" w:eastAsia="宋体"/>
          <w:b/>
          <w:lang w:val="en-US" w:eastAsia="zh-CN"/>
        </w:rPr>
        <w:t>响应</w:t>
      </w:r>
    </w:p>
    <w:p w14:paraId="53A8BC79">
      <w:pPr>
        <w:pStyle w:val="32"/>
      </w:pPr>
      <w:bookmarkStart w:id="69" w:name="_Toc507936037"/>
      <w:bookmarkStart w:id="70" w:name="_Toc506105844"/>
      <w:bookmarkStart w:id="71" w:name="_Toc506105846"/>
      <w:bookmarkStart w:id="72" w:name="_Toc507936039"/>
      <w:r>
        <w:rPr>
          <w:rFonts w:hint="eastAsia"/>
        </w:rPr>
        <w:t>4.</w:t>
      </w:r>
      <w:r>
        <w:rPr>
          <w:rFonts w:hint="eastAsia"/>
          <w:lang w:val="en-US" w:eastAsia="zh-CN"/>
        </w:rPr>
        <w:t>1</w:t>
      </w:r>
      <w:r>
        <w:rPr>
          <w:rFonts w:hint="eastAsia"/>
        </w:rPr>
        <w:t xml:space="preserve"> </w:t>
      </w:r>
      <w:r>
        <w:rPr>
          <w:rFonts w:hint="eastAsia"/>
          <w:lang w:val="en-US" w:eastAsia="zh-CN"/>
        </w:rPr>
        <w:t>响应</w:t>
      </w:r>
      <w:r>
        <w:rPr>
          <w:rFonts w:hint="eastAsia"/>
        </w:rPr>
        <w:t>文件的递交</w:t>
      </w:r>
      <w:bookmarkEnd w:id="69"/>
      <w:bookmarkEnd w:id="70"/>
    </w:p>
    <w:p w14:paraId="2198AB79">
      <w:pPr>
        <w:spacing w:line="360" w:lineRule="auto"/>
        <w:ind w:firstLine="480" w:firstLineChars="200"/>
        <w:rPr>
          <w:rFonts w:ascii="宋体" w:hAnsi="宋体" w:cs="仿宋"/>
          <w:sz w:val="24"/>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31B2BD37">
      <w:pPr>
        <w:pStyle w:val="32"/>
      </w:pPr>
      <w:bookmarkStart w:id="73" w:name="_Toc507936038"/>
      <w:bookmarkStart w:id="74" w:name="_Toc506105845"/>
      <w:r>
        <w:rPr>
          <w:rFonts w:hint="eastAsia"/>
        </w:rPr>
        <w:t>4.</w:t>
      </w:r>
      <w:r>
        <w:rPr>
          <w:rFonts w:hint="eastAsia"/>
          <w:lang w:val="en-US" w:eastAsia="zh-CN"/>
        </w:rPr>
        <w:t>2</w:t>
      </w:r>
      <w:r>
        <w:rPr>
          <w:rFonts w:hint="eastAsia"/>
        </w:rPr>
        <w:t xml:space="preserve"> </w:t>
      </w:r>
      <w:r>
        <w:rPr>
          <w:rFonts w:hint="eastAsia"/>
          <w:lang w:val="en-US" w:eastAsia="zh-CN"/>
        </w:rPr>
        <w:t>响应</w:t>
      </w:r>
      <w:r>
        <w:rPr>
          <w:rFonts w:hint="eastAsia"/>
        </w:rPr>
        <w:t>文件的修改与撤回</w:t>
      </w:r>
      <w:bookmarkEnd w:id="73"/>
      <w:bookmarkEnd w:id="74"/>
    </w:p>
    <w:p w14:paraId="37C4B522">
      <w:pPr>
        <w:spacing w:line="360" w:lineRule="auto"/>
        <w:ind w:firstLine="480" w:firstLineChars="200"/>
        <w:rPr>
          <w:rFonts w:ascii="宋体" w:hAnsi="宋体" w:cs="仿宋"/>
          <w:sz w:val="24"/>
        </w:rPr>
      </w:pPr>
      <w:r>
        <w:rPr>
          <w:rFonts w:hint="eastAsia" w:ascii="宋体" w:hAnsi="宋体" w:cs="仿宋"/>
          <w:sz w:val="24"/>
        </w:rPr>
        <w:t>在</w:t>
      </w:r>
      <w:r>
        <w:rPr>
          <w:rFonts w:hint="eastAsia" w:cs="仿宋"/>
          <w:sz w:val="24"/>
          <w:lang w:val="en-US" w:eastAsia="zh-CN"/>
        </w:rPr>
        <w:t>上传响应文件截止时间</w:t>
      </w:r>
      <w:r>
        <w:rPr>
          <w:rFonts w:hint="eastAsia" w:ascii="宋体" w:hAnsi="宋体" w:cs="仿宋"/>
          <w:sz w:val="24"/>
        </w:rPr>
        <w:t>前，</w:t>
      </w:r>
      <w:r>
        <w:rPr>
          <w:rFonts w:hint="eastAsia" w:cs="仿宋"/>
          <w:sz w:val="24"/>
          <w:lang w:val="en-US" w:eastAsia="zh-CN"/>
        </w:rPr>
        <w:t>供应商</w:t>
      </w:r>
      <w:r>
        <w:rPr>
          <w:rFonts w:hint="eastAsia" w:ascii="宋体" w:hAnsi="宋体" w:cs="仿宋"/>
          <w:sz w:val="24"/>
        </w:rPr>
        <w:t>可以修改或撤回已递交的</w:t>
      </w:r>
      <w:r>
        <w:rPr>
          <w:rFonts w:hint="eastAsia" w:cs="仿宋"/>
          <w:sz w:val="24"/>
          <w:lang w:val="en-US" w:eastAsia="zh-CN"/>
        </w:rPr>
        <w:t>响应</w:t>
      </w:r>
      <w:r>
        <w:rPr>
          <w:rFonts w:hint="eastAsia" w:ascii="宋体" w:hAnsi="宋体" w:cs="仿宋"/>
          <w:sz w:val="24"/>
        </w:rPr>
        <w:t>文件。</w:t>
      </w:r>
    </w:p>
    <w:p w14:paraId="2726B481">
      <w:pPr>
        <w:pStyle w:val="30"/>
        <w:rPr>
          <w:rStyle w:val="19"/>
          <w:rFonts w:hint="eastAsia" w:eastAsia="宋体"/>
          <w:b w:val="0"/>
          <w:bCs w:val="0"/>
          <w:lang w:eastAsia="zh-CN"/>
        </w:rPr>
      </w:pPr>
      <w:r>
        <w:rPr>
          <w:rStyle w:val="19"/>
          <w:rFonts w:hint="eastAsia"/>
          <w:b w:val="0"/>
          <w:bCs w:val="0"/>
        </w:rPr>
        <w:t>5.</w:t>
      </w:r>
      <w:bookmarkEnd w:id="71"/>
      <w:bookmarkEnd w:id="72"/>
      <w:r>
        <w:rPr>
          <w:rStyle w:val="19"/>
          <w:rFonts w:hint="eastAsia" w:eastAsia="宋体"/>
          <w:b w:val="0"/>
          <w:bCs w:val="0"/>
          <w:lang w:val="en-US" w:eastAsia="zh-CN"/>
        </w:rPr>
        <w:t>谈判</w:t>
      </w:r>
    </w:p>
    <w:p w14:paraId="54B3CFBF">
      <w:pPr>
        <w:pStyle w:val="32"/>
        <w:rPr>
          <w:rFonts w:hint="eastAsia" w:eastAsia="宋体"/>
          <w:lang w:eastAsia="zh-CN"/>
        </w:rPr>
      </w:pPr>
      <w:bookmarkStart w:id="75" w:name="_Toc507936040"/>
      <w:bookmarkStart w:id="76" w:name="_Toc506105847"/>
      <w:r>
        <w:rPr>
          <w:rFonts w:hint="eastAsia"/>
        </w:rPr>
        <w:t xml:space="preserve">5.1 </w:t>
      </w:r>
      <w:bookmarkEnd w:id="75"/>
      <w:bookmarkEnd w:id="76"/>
      <w:bookmarkStart w:id="77" w:name="_Toc506105848"/>
      <w:r>
        <w:rPr>
          <w:rFonts w:hint="eastAsia"/>
          <w:lang w:val="en-US" w:eastAsia="zh-CN"/>
        </w:rPr>
        <w:t>谈判</w:t>
      </w:r>
    </w:p>
    <w:p w14:paraId="6E52A7FB">
      <w:pPr>
        <w:spacing w:line="360" w:lineRule="auto"/>
        <w:rPr>
          <w:rFonts w:hint="eastAsia" w:ascii="宋体" w:hAnsi="宋体" w:cs="仿宋"/>
          <w:sz w:val="24"/>
        </w:rPr>
      </w:pPr>
      <w:r>
        <w:rPr>
          <w:rFonts w:hint="eastAsia" w:cs="宋体"/>
          <w:sz w:val="24"/>
          <w:lang w:val="en-US" w:eastAsia="zh-CN"/>
        </w:rPr>
        <w:t>谈判</w:t>
      </w:r>
      <w:r>
        <w:rPr>
          <w:rFonts w:hint="eastAsia" w:ascii="宋体" w:hAnsi="宋体" w:cs="宋体"/>
          <w:sz w:val="24"/>
        </w:rPr>
        <w:t>时间和</w:t>
      </w:r>
      <w:r>
        <w:rPr>
          <w:rFonts w:hint="eastAsia" w:cs="宋体"/>
          <w:sz w:val="24"/>
          <w:lang w:val="en-US" w:eastAsia="zh-CN"/>
        </w:rPr>
        <w:t>方式</w:t>
      </w:r>
      <w:r>
        <w:rPr>
          <w:rFonts w:hint="eastAsia" w:ascii="宋体" w:hAnsi="宋体" w:cs="宋体"/>
          <w:sz w:val="24"/>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bookmarkEnd w:id="77"/>
    <w:p w14:paraId="750FE86C">
      <w:pPr>
        <w:pStyle w:val="30"/>
        <w:rPr>
          <w:rStyle w:val="19"/>
          <w:rFonts w:hint="eastAsia" w:ascii="宋体" w:hAnsi="宋体" w:eastAsia="宋体" w:cs="宋体"/>
          <w:b/>
          <w:bCs/>
          <w:lang w:val="en-US" w:eastAsia="zh-CN"/>
        </w:rPr>
      </w:pPr>
      <w:bookmarkStart w:id="78" w:name="_Toc506105849"/>
      <w:bookmarkStart w:id="79" w:name="_Toc507936041"/>
      <w:r>
        <w:rPr>
          <w:rStyle w:val="19"/>
          <w:rFonts w:hint="eastAsia"/>
          <w:b w:val="0"/>
          <w:bCs w:val="0"/>
        </w:rPr>
        <w:t>6.</w:t>
      </w:r>
      <w:bookmarkEnd w:id="78"/>
      <w:bookmarkEnd w:id="79"/>
      <w:r>
        <w:rPr>
          <w:rStyle w:val="19"/>
          <w:rFonts w:hint="eastAsia" w:ascii="宋体" w:hAnsi="宋体" w:eastAsia="宋体" w:cs="宋体"/>
          <w:b/>
          <w:bCs/>
          <w:lang w:val="en-US" w:eastAsia="zh-CN"/>
        </w:rPr>
        <w:t>响应文件的评审</w:t>
      </w:r>
    </w:p>
    <w:p w14:paraId="1ABCB3D6">
      <w:pPr>
        <w:spacing w:line="360" w:lineRule="auto"/>
        <w:ind w:left="0" w:leftChars="0" w:firstLine="480" w:firstLineChars="200"/>
        <w:rPr>
          <w:rFonts w:hint="eastAsia"/>
          <w:sz w:val="24"/>
          <w:lang w:val="en-US" w:eastAsia="zh-CN"/>
        </w:rPr>
      </w:pPr>
      <w:bookmarkStart w:id="80" w:name="_Toc507936046"/>
      <w:bookmarkStart w:id="81" w:name="_Toc506105854"/>
      <w:r>
        <w:rPr>
          <w:rFonts w:hint="eastAsia"/>
          <w:sz w:val="24"/>
          <w:lang w:val="en-US" w:eastAsia="zh-CN"/>
        </w:rPr>
        <w:t>6.1 评审程序</w:t>
      </w:r>
    </w:p>
    <w:p w14:paraId="245B74CC">
      <w:pPr>
        <w:spacing w:line="360" w:lineRule="auto"/>
        <w:ind w:left="0" w:leftChars="0" w:firstLine="480" w:firstLineChars="200"/>
        <w:rPr>
          <w:rFonts w:hint="eastAsia"/>
          <w:sz w:val="24"/>
        </w:rPr>
      </w:pPr>
      <w:r>
        <w:rPr>
          <w:rFonts w:hint="eastAsia" w:hAnsi="宋体"/>
          <w:sz w:val="24"/>
        </w:rPr>
        <w:t>6.1</w:t>
      </w:r>
      <w:r>
        <w:rPr>
          <w:rFonts w:hint="eastAsia"/>
          <w:sz w:val="24"/>
          <w:lang w:val="en-US" w:eastAsia="zh-CN"/>
        </w:rPr>
        <w:t>.1</w:t>
      </w:r>
      <w:r>
        <w:rPr>
          <w:rFonts w:hint="eastAsia"/>
          <w:sz w:val="24"/>
        </w:rPr>
        <w:t>谈判小组依据谈判文件的规定，对</w:t>
      </w:r>
      <w:r>
        <w:rPr>
          <w:rFonts w:hint="eastAsia"/>
          <w:sz w:val="24"/>
          <w:lang w:val="en-US" w:eastAsia="zh-CN"/>
        </w:rPr>
        <w:t>响应</w:t>
      </w:r>
      <w:r>
        <w:rPr>
          <w:rFonts w:hint="eastAsia"/>
          <w:sz w:val="24"/>
        </w:rPr>
        <w:t>文件的有效性、完整性和对谈判文件的响应程度进行审查，以确定是否对谈判文件的要求做出实质性响应。未对谈判文件做实质性响应的供应商，</w:t>
      </w:r>
      <w:r>
        <w:rPr>
          <w:rFonts w:hint="eastAsia"/>
          <w:sz w:val="24"/>
          <w:lang w:eastAsia="zh-CN"/>
        </w:rPr>
        <w:t>为无效报价，</w:t>
      </w:r>
      <w:r>
        <w:rPr>
          <w:rFonts w:hint="eastAsia"/>
          <w:sz w:val="24"/>
        </w:rPr>
        <w:t>不得进入具体谈判程序。</w:t>
      </w:r>
    </w:p>
    <w:p w14:paraId="4C757D03">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对某一供应商的鉴定中，若有半数以上谈判小组成员认为某供应商有一项以上（包括一项）“不符合”，则该供应商不得进入下一步的评审。</w:t>
      </w:r>
    </w:p>
    <w:p w14:paraId="190C20BA">
      <w:pPr>
        <w:spacing w:line="360" w:lineRule="auto"/>
        <w:ind w:left="0" w:leftChars="0" w:firstLine="480" w:firstLineChars="200"/>
        <w:rPr>
          <w:sz w:val="24"/>
        </w:rPr>
      </w:pPr>
      <w:r>
        <w:rPr>
          <w:rFonts w:hint="eastAsia"/>
          <w:sz w:val="24"/>
          <w:lang w:val="en-US" w:eastAsia="zh-CN"/>
        </w:rPr>
        <w:t>6.1.2</w:t>
      </w:r>
      <w:r>
        <w:rPr>
          <w:rFonts w:hAnsi="宋体"/>
          <w:sz w:val="24"/>
        </w:rPr>
        <w:t>评审内容的保密</w:t>
      </w:r>
    </w:p>
    <w:p w14:paraId="4A6EBF7A">
      <w:pPr>
        <w:spacing w:line="360" w:lineRule="auto"/>
        <w:ind w:left="0" w:leftChars="0" w:firstLine="480" w:firstLineChars="200"/>
        <w:rPr>
          <w:sz w:val="24"/>
        </w:rPr>
      </w:pPr>
      <w:r>
        <w:rPr>
          <w:rFonts w:hint="eastAsia"/>
          <w:sz w:val="24"/>
        </w:rPr>
        <w:t>（1）</w:t>
      </w:r>
      <w:r>
        <w:rPr>
          <w:rFonts w:hAnsi="宋体"/>
          <w:sz w:val="24"/>
        </w:rPr>
        <w:t>谈判开始，直到宣布成交供应商为止，凡属于审查、报价和比较报价的所有资料，有关授予合同的信息，都不应向供应商或与评审无关的其他人泄露。</w:t>
      </w:r>
    </w:p>
    <w:p w14:paraId="0BFB9C46">
      <w:pPr>
        <w:spacing w:line="360" w:lineRule="auto"/>
        <w:ind w:left="0" w:leftChars="0" w:firstLine="480" w:firstLineChars="200"/>
        <w:rPr>
          <w:sz w:val="24"/>
        </w:rPr>
      </w:pPr>
      <w:r>
        <w:rPr>
          <w:rFonts w:hint="eastAsia"/>
          <w:sz w:val="24"/>
        </w:rPr>
        <w:t>（2）</w:t>
      </w:r>
      <w:r>
        <w:rPr>
          <w:rFonts w:hAnsi="宋体"/>
          <w:sz w:val="24"/>
        </w:rPr>
        <w:t>在响应文件的审查、澄清、评价和比较以及授予合同过程中，供应商对采购人和谈判小组成员施加影响的任何行为，都将导致取消其报价资格。</w:t>
      </w:r>
    </w:p>
    <w:p w14:paraId="7E4F0CED">
      <w:pPr>
        <w:spacing w:line="360" w:lineRule="auto"/>
        <w:ind w:left="0" w:leftChars="0" w:firstLine="480" w:firstLineChars="200"/>
        <w:rPr>
          <w:rFonts w:hint="eastAsia"/>
          <w:sz w:val="24"/>
        </w:rPr>
      </w:pPr>
      <w:r>
        <w:rPr>
          <w:rFonts w:hint="eastAsia"/>
          <w:sz w:val="24"/>
        </w:rPr>
        <w:t>6.1.3</w:t>
      </w:r>
      <w:r>
        <w:rPr>
          <w:rFonts w:hint="eastAsia" w:hAnsi="宋体"/>
          <w:sz w:val="24"/>
        </w:rPr>
        <w:t xml:space="preserve"> </w:t>
      </w:r>
      <w:r>
        <w:rPr>
          <w:rFonts w:hAnsi="宋体"/>
          <w:sz w:val="24"/>
        </w:rPr>
        <w:t>报价</w:t>
      </w:r>
      <w:r>
        <w:rPr>
          <w:rFonts w:hint="eastAsia" w:hAnsi="宋体"/>
          <w:sz w:val="24"/>
        </w:rPr>
        <w:t>无效</w:t>
      </w:r>
    </w:p>
    <w:p w14:paraId="5288EF11">
      <w:pPr>
        <w:spacing w:line="360" w:lineRule="auto"/>
        <w:ind w:left="0" w:leftChars="0" w:firstLine="480" w:firstLineChars="200"/>
        <w:rPr>
          <w:sz w:val="24"/>
        </w:rPr>
      </w:pPr>
      <w:r>
        <w:rPr>
          <w:rFonts w:hint="eastAsia"/>
          <w:sz w:val="24"/>
        </w:rPr>
        <w:t>6.1.3.</w:t>
      </w:r>
      <w:r>
        <w:rPr>
          <w:sz w:val="24"/>
        </w:rPr>
        <w:t>1</w:t>
      </w:r>
      <w:r>
        <w:rPr>
          <w:rFonts w:hAnsi="宋体"/>
          <w:sz w:val="24"/>
        </w:rPr>
        <w:t>供应商有下列情况之一者，其报价</w:t>
      </w:r>
      <w:r>
        <w:rPr>
          <w:rFonts w:hint="eastAsia" w:hAnsi="宋体"/>
          <w:sz w:val="24"/>
        </w:rPr>
        <w:t>无效</w:t>
      </w:r>
      <w:r>
        <w:rPr>
          <w:rFonts w:hAnsi="宋体"/>
          <w:sz w:val="24"/>
        </w:rPr>
        <w:t>，但报价保证金不被没收：</w:t>
      </w:r>
    </w:p>
    <w:p w14:paraId="7B1B8517">
      <w:pPr>
        <w:spacing w:line="360" w:lineRule="auto"/>
        <w:ind w:left="0" w:leftChars="0" w:firstLine="480" w:firstLineChars="200"/>
        <w:rPr>
          <w:sz w:val="24"/>
        </w:rPr>
      </w:pPr>
      <w:r>
        <w:rPr>
          <w:rFonts w:hAnsi="宋体"/>
          <w:sz w:val="24"/>
        </w:rPr>
        <w:t>（</w:t>
      </w:r>
      <w:r>
        <w:rPr>
          <w:sz w:val="24"/>
        </w:rPr>
        <w:t>1</w:t>
      </w:r>
      <w:r>
        <w:rPr>
          <w:rFonts w:hAnsi="宋体"/>
          <w:sz w:val="24"/>
        </w:rPr>
        <w:t>）谈判文件中要求必备的证件未能提供；</w:t>
      </w:r>
    </w:p>
    <w:p w14:paraId="79844DCA">
      <w:pPr>
        <w:spacing w:line="360" w:lineRule="auto"/>
        <w:ind w:left="0" w:leftChars="0" w:firstLine="480" w:firstLineChars="200"/>
        <w:rPr>
          <w:sz w:val="24"/>
        </w:rPr>
      </w:pPr>
      <w:r>
        <w:rPr>
          <w:rFonts w:hAnsi="宋体"/>
          <w:sz w:val="24"/>
        </w:rPr>
        <w:t>（</w:t>
      </w:r>
      <w:r>
        <w:rPr>
          <w:sz w:val="24"/>
        </w:rPr>
        <w:t>2</w:t>
      </w:r>
      <w:r>
        <w:rPr>
          <w:rFonts w:hAnsi="宋体"/>
          <w:sz w:val="24"/>
        </w:rPr>
        <w:t>）不能达到谈判文件</w:t>
      </w:r>
      <w:r>
        <w:rPr>
          <w:rFonts w:hint="eastAsia" w:hAnsi="宋体"/>
          <w:sz w:val="24"/>
        </w:rPr>
        <w:t>供应商</w:t>
      </w:r>
      <w:r>
        <w:rPr>
          <w:rFonts w:hAnsi="宋体"/>
          <w:sz w:val="24"/>
        </w:rPr>
        <w:t>资质要求的；</w:t>
      </w:r>
    </w:p>
    <w:p w14:paraId="13B94FB0">
      <w:pPr>
        <w:spacing w:line="360" w:lineRule="auto"/>
        <w:ind w:left="0" w:leftChars="0" w:firstLine="480" w:firstLineChars="200"/>
        <w:rPr>
          <w:rFonts w:hint="eastAsia" w:ascii="宋体" w:hAnsi="宋体" w:eastAsia="宋体" w:cs="宋体"/>
          <w:sz w:val="24"/>
        </w:rPr>
      </w:pPr>
      <w:r>
        <w:rPr>
          <w:rFonts w:hAnsi="宋体"/>
          <w:sz w:val="24"/>
        </w:rPr>
        <w:t>（</w:t>
      </w:r>
      <w:r>
        <w:rPr>
          <w:rFonts w:hint="eastAsia" w:hAnsi="宋体"/>
          <w:sz w:val="24"/>
        </w:rPr>
        <w:t>3</w:t>
      </w:r>
      <w:r>
        <w:rPr>
          <w:rFonts w:hAnsi="宋体"/>
          <w:sz w:val="24"/>
        </w:rPr>
        <w:t>）</w:t>
      </w:r>
      <w:r>
        <w:rPr>
          <w:rFonts w:hint="eastAsia" w:ascii="宋体" w:hAnsi="宋体" w:eastAsia="宋体" w:cs="宋体"/>
          <w:sz w:val="24"/>
        </w:rPr>
        <w:t>报价文件不完整；</w:t>
      </w:r>
    </w:p>
    <w:p w14:paraId="2B489ECC">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未按规定报价或最终报价超过采购预算；</w:t>
      </w:r>
    </w:p>
    <w:p w14:paraId="7C31FCA1">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rPr>
        <w:t>未按谈判文件要求提交报价保证金；</w:t>
      </w:r>
    </w:p>
    <w:p w14:paraId="5E5D08F0">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报价文件未按谈判文件要求密封、签署、装订、盖章；</w:t>
      </w:r>
    </w:p>
    <w:p w14:paraId="1D06666F">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报价文件载明的交货时间超过谈判文件规定的时间且不能被采购人接受；</w:t>
      </w:r>
    </w:p>
    <w:p w14:paraId="616428BB">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报价文件载明的服务检验标准和方法等不符合谈判文件的要求；</w:t>
      </w:r>
    </w:p>
    <w:p w14:paraId="47D05F64">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报价文件中的服务配置、技术参数明显不符合谈判文件要求；</w:t>
      </w:r>
    </w:p>
    <w:p w14:paraId="02F93FAC">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响应文件</w:t>
      </w:r>
      <w:r>
        <w:rPr>
          <w:rFonts w:hint="eastAsia" w:ascii="宋体" w:hAnsi="宋体" w:eastAsia="宋体" w:cs="宋体"/>
          <w:sz w:val="24"/>
          <w:lang w:val="en-US" w:eastAsia="zh-CN"/>
        </w:rPr>
        <w:t>未实质性响应</w:t>
      </w:r>
      <w:r>
        <w:rPr>
          <w:rFonts w:hint="eastAsia" w:ascii="宋体" w:hAnsi="宋体" w:eastAsia="宋体" w:cs="宋体"/>
          <w:sz w:val="24"/>
        </w:rPr>
        <w:t>竞争性谈判文件规定的格式、内容；</w:t>
      </w:r>
    </w:p>
    <w:p w14:paraId="5BDF8315">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附有采购人不能接受的条件或不响应竞争性谈判文件规定的内容。</w:t>
      </w:r>
    </w:p>
    <w:p w14:paraId="382A9AD2">
      <w:pPr>
        <w:spacing w:line="360" w:lineRule="auto"/>
        <w:ind w:left="0" w:leftChars="0" w:firstLine="480" w:firstLineChars="200"/>
        <w:rPr>
          <w:sz w:val="24"/>
        </w:rPr>
      </w:pPr>
      <w:r>
        <w:rPr>
          <w:rFonts w:hint="eastAsia" w:ascii="宋体" w:hAnsi="宋体" w:eastAsia="宋体" w:cs="宋体"/>
          <w:sz w:val="24"/>
          <w:lang w:val="en-US" w:eastAsia="zh-CN"/>
        </w:rPr>
        <w:t>（12）</w:t>
      </w:r>
      <w:r>
        <w:rPr>
          <w:rFonts w:hAnsi="宋体"/>
          <w:sz w:val="24"/>
        </w:rPr>
        <w:t>法律、法规规定的其他情况。</w:t>
      </w:r>
    </w:p>
    <w:p w14:paraId="3B1B03A1">
      <w:pPr>
        <w:spacing w:line="360" w:lineRule="auto"/>
        <w:ind w:left="0" w:leftChars="0" w:firstLine="480" w:firstLineChars="200"/>
        <w:rPr>
          <w:sz w:val="24"/>
        </w:rPr>
      </w:pPr>
      <w:r>
        <w:rPr>
          <w:rFonts w:hint="eastAsia"/>
          <w:sz w:val="24"/>
        </w:rPr>
        <w:t>6.1.3</w:t>
      </w:r>
      <w:r>
        <w:rPr>
          <w:sz w:val="24"/>
        </w:rPr>
        <w:t>.2</w:t>
      </w:r>
      <w:r>
        <w:rPr>
          <w:rFonts w:hAnsi="宋体"/>
          <w:sz w:val="24"/>
        </w:rPr>
        <w:t>供应商有下列情况之一者，其报价</w:t>
      </w:r>
      <w:r>
        <w:rPr>
          <w:rFonts w:hint="eastAsia" w:hAnsi="宋体"/>
          <w:sz w:val="24"/>
        </w:rPr>
        <w:t>无效</w:t>
      </w:r>
      <w:r>
        <w:rPr>
          <w:rFonts w:hAnsi="宋体"/>
          <w:sz w:val="24"/>
        </w:rPr>
        <w:t>，</w:t>
      </w:r>
      <w:r>
        <w:rPr>
          <w:rFonts w:hint="eastAsia"/>
          <w:sz w:val="24"/>
          <w:lang w:val="en-US" w:eastAsia="zh-CN"/>
        </w:rPr>
        <w:t>谈判</w:t>
      </w:r>
      <w:r>
        <w:rPr>
          <w:rFonts w:hAnsi="宋体"/>
          <w:sz w:val="24"/>
        </w:rPr>
        <w:t>保证金将被没收：</w:t>
      </w:r>
    </w:p>
    <w:p w14:paraId="6BCDB517">
      <w:pPr>
        <w:spacing w:line="360" w:lineRule="auto"/>
        <w:ind w:left="0" w:leftChars="0" w:firstLine="480" w:firstLineChars="200"/>
        <w:rPr>
          <w:sz w:val="24"/>
        </w:rPr>
      </w:pPr>
      <w:r>
        <w:rPr>
          <w:rFonts w:hAnsi="宋体"/>
          <w:sz w:val="24"/>
        </w:rPr>
        <w:t>（</w:t>
      </w:r>
      <w:r>
        <w:rPr>
          <w:sz w:val="24"/>
        </w:rPr>
        <w:t>1</w:t>
      </w:r>
      <w:r>
        <w:rPr>
          <w:rFonts w:hAnsi="宋体"/>
          <w:sz w:val="24"/>
        </w:rPr>
        <w:t>）供应商向谈判小组、谈判工作有关的人员提供不正当利益；</w:t>
      </w:r>
    </w:p>
    <w:p w14:paraId="7D2928F0">
      <w:pPr>
        <w:spacing w:line="360" w:lineRule="auto"/>
        <w:ind w:left="0" w:leftChars="0" w:firstLine="480" w:firstLineChars="200"/>
        <w:rPr>
          <w:sz w:val="24"/>
        </w:rPr>
      </w:pPr>
      <w:r>
        <w:rPr>
          <w:rFonts w:hAnsi="宋体"/>
          <w:sz w:val="24"/>
        </w:rPr>
        <w:t>（</w:t>
      </w:r>
      <w:r>
        <w:rPr>
          <w:sz w:val="24"/>
        </w:rPr>
        <w:t>2</w:t>
      </w:r>
      <w:r>
        <w:rPr>
          <w:rFonts w:hAnsi="宋体"/>
          <w:sz w:val="24"/>
        </w:rPr>
        <w:t>）成交供应商不按谈判文件规定的要求签订合同；</w:t>
      </w:r>
    </w:p>
    <w:p w14:paraId="3CA362FF">
      <w:pPr>
        <w:spacing w:line="360" w:lineRule="auto"/>
        <w:ind w:left="0" w:leftChars="0" w:firstLine="480" w:firstLineChars="200"/>
        <w:rPr>
          <w:sz w:val="24"/>
        </w:rPr>
      </w:pPr>
      <w:r>
        <w:rPr>
          <w:rFonts w:hAnsi="宋体"/>
          <w:sz w:val="24"/>
        </w:rPr>
        <w:t>（</w:t>
      </w:r>
      <w:r>
        <w:rPr>
          <w:sz w:val="24"/>
        </w:rPr>
        <w:t>3</w:t>
      </w:r>
      <w:r>
        <w:rPr>
          <w:rFonts w:hAnsi="宋体"/>
          <w:sz w:val="24"/>
        </w:rPr>
        <w:t>）成交供应商未按规定交纳相关费用；</w:t>
      </w:r>
    </w:p>
    <w:p w14:paraId="0B155189">
      <w:pPr>
        <w:spacing w:line="360" w:lineRule="auto"/>
        <w:ind w:left="0" w:leftChars="0" w:firstLine="480" w:firstLineChars="200"/>
        <w:rPr>
          <w:sz w:val="24"/>
        </w:rPr>
      </w:pPr>
      <w:r>
        <w:rPr>
          <w:rFonts w:hAnsi="宋体"/>
          <w:sz w:val="24"/>
        </w:rPr>
        <w:t>（</w:t>
      </w:r>
      <w:r>
        <w:rPr>
          <w:sz w:val="24"/>
        </w:rPr>
        <w:t>4</w:t>
      </w:r>
      <w:r>
        <w:rPr>
          <w:rFonts w:hAnsi="宋体"/>
          <w:sz w:val="24"/>
        </w:rPr>
        <w:t>）法律、法规规定的其他情况。</w:t>
      </w:r>
    </w:p>
    <w:p w14:paraId="5F723313">
      <w:pPr>
        <w:spacing w:line="360" w:lineRule="auto"/>
        <w:ind w:left="0" w:leftChars="0" w:firstLine="480" w:firstLineChars="200"/>
        <w:rPr>
          <w:sz w:val="24"/>
        </w:rPr>
      </w:pPr>
      <w:r>
        <w:rPr>
          <w:rFonts w:hint="eastAsia"/>
          <w:sz w:val="24"/>
        </w:rPr>
        <w:t>6.1.3.</w:t>
      </w:r>
      <w:r>
        <w:rPr>
          <w:sz w:val="24"/>
        </w:rPr>
        <w:t>3</w:t>
      </w:r>
      <w:r>
        <w:rPr>
          <w:rFonts w:hAnsi="宋体"/>
          <w:sz w:val="24"/>
        </w:rPr>
        <w:t>供应商有下列情况之一者，其报价</w:t>
      </w:r>
      <w:r>
        <w:rPr>
          <w:rFonts w:hint="eastAsia" w:hAnsi="宋体"/>
          <w:sz w:val="24"/>
        </w:rPr>
        <w:t>无效</w:t>
      </w:r>
      <w:r>
        <w:rPr>
          <w:rFonts w:hAnsi="宋体"/>
          <w:sz w:val="24"/>
        </w:rPr>
        <w:t>，将取消其报价资格并负法律责任：</w:t>
      </w:r>
    </w:p>
    <w:p w14:paraId="448C9338">
      <w:pPr>
        <w:spacing w:line="360" w:lineRule="auto"/>
        <w:ind w:left="0" w:leftChars="0" w:firstLine="480" w:firstLineChars="200"/>
        <w:rPr>
          <w:sz w:val="24"/>
        </w:rPr>
      </w:pPr>
      <w:r>
        <w:rPr>
          <w:rFonts w:hAnsi="宋体"/>
          <w:sz w:val="24"/>
        </w:rPr>
        <w:t>（</w:t>
      </w:r>
      <w:r>
        <w:rPr>
          <w:sz w:val="24"/>
        </w:rPr>
        <w:t>1</w:t>
      </w:r>
      <w:r>
        <w:rPr>
          <w:rFonts w:hAnsi="宋体"/>
          <w:sz w:val="24"/>
        </w:rPr>
        <w:t>）供应商提供的有关资格、资质证明文件不真实，提供虚假报价材料；</w:t>
      </w:r>
    </w:p>
    <w:p w14:paraId="5D0E44C5">
      <w:pPr>
        <w:spacing w:line="360" w:lineRule="auto"/>
        <w:ind w:left="0" w:leftChars="0" w:firstLine="480" w:firstLineChars="200"/>
        <w:rPr>
          <w:sz w:val="24"/>
        </w:rPr>
      </w:pPr>
      <w:r>
        <w:rPr>
          <w:rFonts w:hAnsi="宋体"/>
          <w:sz w:val="24"/>
        </w:rPr>
        <w:t>（</w:t>
      </w:r>
      <w:r>
        <w:rPr>
          <w:sz w:val="24"/>
        </w:rPr>
        <w:t>2</w:t>
      </w:r>
      <w:r>
        <w:rPr>
          <w:rFonts w:hAnsi="宋体"/>
          <w:sz w:val="24"/>
        </w:rPr>
        <w:t>）供应商在报价有效期内撤回报价；</w:t>
      </w:r>
    </w:p>
    <w:p w14:paraId="3D7416C6">
      <w:pPr>
        <w:spacing w:line="360" w:lineRule="auto"/>
        <w:ind w:left="0" w:leftChars="0" w:firstLine="480" w:firstLineChars="200"/>
        <w:rPr>
          <w:sz w:val="24"/>
        </w:rPr>
      </w:pPr>
      <w:r>
        <w:rPr>
          <w:rFonts w:hAnsi="宋体"/>
          <w:sz w:val="24"/>
        </w:rPr>
        <w:t>（</w:t>
      </w:r>
      <w:r>
        <w:rPr>
          <w:sz w:val="24"/>
        </w:rPr>
        <w:t>3</w:t>
      </w:r>
      <w:r>
        <w:rPr>
          <w:rFonts w:hAnsi="宋体"/>
          <w:sz w:val="24"/>
        </w:rPr>
        <w:t>）在整个谈判过程中，供应商有企图影响谈判结果的任何不当活动；</w:t>
      </w:r>
    </w:p>
    <w:p w14:paraId="40E8B5E4">
      <w:pPr>
        <w:spacing w:line="360" w:lineRule="auto"/>
        <w:ind w:left="0" w:leftChars="0" w:firstLine="480" w:firstLineChars="200"/>
        <w:rPr>
          <w:sz w:val="24"/>
        </w:rPr>
      </w:pPr>
      <w:r>
        <w:rPr>
          <w:rFonts w:hAnsi="宋体"/>
          <w:sz w:val="24"/>
        </w:rPr>
        <w:t>（</w:t>
      </w:r>
      <w:r>
        <w:rPr>
          <w:sz w:val="24"/>
        </w:rPr>
        <w:t>4</w:t>
      </w:r>
      <w:r>
        <w:rPr>
          <w:rFonts w:hAnsi="宋体"/>
          <w:sz w:val="24"/>
        </w:rPr>
        <w:t>）供应商串通报价或采用不正当竞争方式；</w:t>
      </w:r>
    </w:p>
    <w:p w14:paraId="3F6D9B2C">
      <w:pPr>
        <w:spacing w:line="360" w:lineRule="auto"/>
        <w:ind w:left="0" w:leftChars="0" w:firstLine="480" w:firstLineChars="200"/>
        <w:rPr>
          <w:sz w:val="24"/>
        </w:rPr>
      </w:pPr>
      <w:r>
        <w:rPr>
          <w:rFonts w:hAnsi="宋体"/>
          <w:sz w:val="24"/>
        </w:rPr>
        <w:t>（</w:t>
      </w:r>
      <w:r>
        <w:rPr>
          <w:sz w:val="24"/>
        </w:rPr>
        <w:t>5</w:t>
      </w:r>
      <w:r>
        <w:rPr>
          <w:rFonts w:hAnsi="宋体"/>
          <w:sz w:val="24"/>
        </w:rPr>
        <w:t>）供应商以任何方式诋毁其他供应商；</w:t>
      </w:r>
    </w:p>
    <w:p w14:paraId="00520A02">
      <w:pPr>
        <w:spacing w:line="360" w:lineRule="auto"/>
        <w:ind w:left="0" w:leftChars="0" w:firstLine="480" w:firstLineChars="200"/>
        <w:rPr>
          <w:sz w:val="24"/>
        </w:rPr>
      </w:pPr>
      <w:r>
        <w:rPr>
          <w:rFonts w:hAnsi="宋体"/>
          <w:sz w:val="24"/>
        </w:rPr>
        <w:t>（</w:t>
      </w:r>
      <w:r>
        <w:rPr>
          <w:sz w:val="24"/>
        </w:rPr>
        <w:t>6</w:t>
      </w:r>
      <w:r>
        <w:rPr>
          <w:rFonts w:hAnsi="宋体"/>
          <w:sz w:val="24"/>
        </w:rPr>
        <w:t>）法律、法规规定的其他情况。</w:t>
      </w:r>
    </w:p>
    <w:p w14:paraId="25C4062F">
      <w:pPr>
        <w:spacing w:line="360" w:lineRule="auto"/>
        <w:ind w:left="0" w:leftChars="0" w:firstLine="480" w:firstLineChars="200"/>
        <w:rPr>
          <w:rFonts w:hint="eastAsia" w:hAnsi="宋体"/>
          <w:sz w:val="24"/>
        </w:rPr>
      </w:pPr>
      <w:r>
        <w:rPr>
          <w:rFonts w:hAnsi="宋体"/>
          <w:sz w:val="24"/>
        </w:rPr>
        <w:t>供应商有上述行为之一的，采购人将严格依照有关法律、法规及规章的规定行使其权利。供应商给采购人造成损失的，采购人有索赔的权利，供应商应予以赔偿。</w:t>
      </w:r>
    </w:p>
    <w:p w14:paraId="4061732B">
      <w:pPr>
        <w:spacing w:line="360" w:lineRule="auto"/>
        <w:ind w:left="0" w:leftChars="0" w:firstLine="480" w:firstLineChars="200"/>
        <w:rPr>
          <w:rFonts w:hAnsi="宋体"/>
          <w:sz w:val="24"/>
        </w:rPr>
      </w:pPr>
      <w:r>
        <w:rPr>
          <w:rFonts w:hint="eastAsia"/>
          <w:sz w:val="24"/>
        </w:rPr>
        <w:t>6</w:t>
      </w:r>
      <w:r>
        <w:rPr>
          <w:sz w:val="24"/>
        </w:rPr>
        <w:t>.</w:t>
      </w:r>
      <w:r>
        <w:rPr>
          <w:rFonts w:hint="eastAsia"/>
          <w:sz w:val="24"/>
        </w:rPr>
        <w:t>1.4</w:t>
      </w:r>
      <w:r>
        <w:rPr>
          <w:rFonts w:hAnsi="宋体"/>
          <w:sz w:val="24"/>
        </w:rPr>
        <w:t>响应文件计算错误的修正</w:t>
      </w:r>
    </w:p>
    <w:p w14:paraId="30EC7206">
      <w:pPr>
        <w:spacing w:line="360" w:lineRule="auto"/>
        <w:ind w:left="0" w:leftChars="0" w:firstLine="480" w:firstLineChars="200"/>
        <w:rPr>
          <w:sz w:val="24"/>
        </w:rPr>
      </w:pPr>
      <w:r>
        <w:rPr>
          <w:rFonts w:hint="eastAsia"/>
          <w:sz w:val="24"/>
        </w:rPr>
        <w:t>6.1</w:t>
      </w:r>
      <w:r>
        <w:rPr>
          <w:sz w:val="24"/>
        </w:rPr>
        <w:t>.</w:t>
      </w:r>
      <w:r>
        <w:rPr>
          <w:rFonts w:hint="eastAsia"/>
          <w:sz w:val="24"/>
        </w:rPr>
        <w:t>4.1</w:t>
      </w:r>
      <w:r>
        <w:rPr>
          <w:rFonts w:hAnsi="宋体"/>
          <w:sz w:val="24"/>
        </w:rPr>
        <w:t>谈判小组将对确定为实质上响应竞争性谈判文件要求的响应文件进行校核，看其是否有计算或表达上的错误，修正错误的原则如下：</w:t>
      </w:r>
    </w:p>
    <w:p w14:paraId="71E521BE">
      <w:pPr>
        <w:spacing w:line="360" w:lineRule="auto"/>
        <w:ind w:left="0" w:leftChars="0" w:firstLine="480" w:firstLineChars="200"/>
        <w:rPr>
          <w:sz w:val="24"/>
        </w:rPr>
      </w:pPr>
      <w:r>
        <w:rPr>
          <w:rFonts w:hAnsi="宋体"/>
          <w:sz w:val="24"/>
        </w:rPr>
        <w:t>（</w:t>
      </w:r>
      <w:r>
        <w:rPr>
          <w:sz w:val="24"/>
        </w:rPr>
        <w:t>1</w:t>
      </w:r>
      <w:r>
        <w:rPr>
          <w:rFonts w:hAnsi="宋体"/>
          <w:sz w:val="24"/>
        </w:rPr>
        <w:t>）如果数字表示的金额和用文字表示的金额不一致时，应以文字表示的金额为准；</w:t>
      </w:r>
    </w:p>
    <w:p w14:paraId="2DA5088C">
      <w:pPr>
        <w:spacing w:line="360" w:lineRule="auto"/>
        <w:ind w:left="0" w:leftChars="0" w:firstLine="480" w:firstLineChars="200"/>
        <w:rPr>
          <w:sz w:val="24"/>
        </w:rPr>
      </w:pPr>
      <w:r>
        <w:rPr>
          <w:rFonts w:hAnsi="宋体"/>
          <w:sz w:val="24"/>
        </w:rPr>
        <w:t>（</w:t>
      </w:r>
      <w:r>
        <w:rPr>
          <w:sz w:val="24"/>
        </w:rPr>
        <w:t>2</w:t>
      </w:r>
      <w:r>
        <w:rPr>
          <w:rFonts w:hAnsi="宋体"/>
          <w:sz w:val="24"/>
        </w:rPr>
        <w:t>）当单价与数量的乘积与合价不一致时，以单价为准，除非谈判小组认为单价有明显的小数点错误，此时应以标出的合价为准，并修改单价。</w:t>
      </w:r>
    </w:p>
    <w:p w14:paraId="4C59F673">
      <w:pPr>
        <w:spacing w:line="360" w:lineRule="auto"/>
        <w:ind w:left="0" w:leftChars="0" w:firstLine="480" w:firstLineChars="200"/>
        <w:rPr>
          <w:sz w:val="24"/>
        </w:rPr>
      </w:pPr>
      <w:r>
        <w:rPr>
          <w:rFonts w:hint="eastAsia"/>
          <w:sz w:val="24"/>
        </w:rPr>
        <w:t>6</w:t>
      </w:r>
      <w:r>
        <w:rPr>
          <w:sz w:val="24"/>
        </w:rPr>
        <w:t>.</w:t>
      </w:r>
      <w:r>
        <w:rPr>
          <w:rFonts w:hint="eastAsia"/>
          <w:sz w:val="24"/>
        </w:rPr>
        <w:t>1</w:t>
      </w:r>
      <w:r>
        <w:rPr>
          <w:sz w:val="24"/>
        </w:rPr>
        <w:t>.</w:t>
      </w:r>
      <w:r>
        <w:rPr>
          <w:rFonts w:hint="eastAsia"/>
          <w:sz w:val="24"/>
        </w:rPr>
        <w:t>4.2</w:t>
      </w:r>
      <w:r>
        <w:rPr>
          <w:rFonts w:hAnsi="宋体"/>
          <w:sz w:val="24"/>
        </w:rPr>
        <w:t>按上述修正错误的原则及方法调整或修正响应文件的报价，供应商同意后，调整后的报价对供应商起约束作用。如果供应商不接受修正后的报价，则其报价将被拒绝并且其报价保证金也将被没收，并不影响评审工作。</w:t>
      </w:r>
    </w:p>
    <w:p w14:paraId="021623A9">
      <w:pPr>
        <w:spacing w:line="360" w:lineRule="auto"/>
        <w:ind w:left="0" w:leftChars="0" w:firstLine="480" w:firstLineChars="200"/>
        <w:rPr>
          <w:sz w:val="24"/>
        </w:rPr>
      </w:pPr>
      <w:r>
        <w:rPr>
          <w:rFonts w:hint="eastAsia"/>
          <w:sz w:val="24"/>
        </w:rPr>
        <w:t>6.1.5</w:t>
      </w:r>
      <w:r>
        <w:rPr>
          <w:rFonts w:hAnsi="宋体"/>
          <w:sz w:val="24"/>
        </w:rPr>
        <w:t>谈判</w:t>
      </w:r>
    </w:p>
    <w:p w14:paraId="762D9B39">
      <w:pPr>
        <w:spacing w:line="360" w:lineRule="auto"/>
        <w:ind w:left="0" w:leftChars="0" w:firstLine="480" w:firstLineChars="200"/>
        <w:rPr>
          <w:sz w:val="24"/>
        </w:rPr>
      </w:pPr>
      <w:r>
        <w:rPr>
          <w:rFonts w:hAnsi="宋体"/>
          <w:sz w:val="24"/>
        </w:rPr>
        <w:t>在详细审阅各供应商的响应文件之后，谈判小组可根据各供应商响应文件编制情况组织谈判。供应商在接到采购代理机构的谈判通知后，应组织相关人员出席谈判。谈判时，由谈判小组提出问题，供应商应首先作出口头解答，然后形成书面文字，经授权代表签字后，在规定的时间内提交给谈判小组。</w:t>
      </w:r>
    </w:p>
    <w:p w14:paraId="61105CCE">
      <w:pPr>
        <w:spacing w:line="360" w:lineRule="auto"/>
        <w:ind w:left="0" w:leftChars="0" w:firstLine="480" w:firstLineChars="200"/>
        <w:rPr>
          <w:sz w:val="24"/>
        </w:rPr>
      </w:pPr>
      <w:r>
        <w:rPr>
          <w:rFonts w:hint="eastAsia"/>
          <w:sz w:val="24"/>
        </w:rPr>
        <w:t>6.1.6</w:t>
      </w:r>
      <w:r>
        <w:rPr>
          <w:rFonts w:hAnsi="宋体"/>
          <w:sz w:val="24"/>
        </w:rPr>
        <w:t>最终报价</w:t>
      </w:r>
    </w:p>
    <w:p w14:paraId="4CEDFA5A">
      <w:pPr>
        <w:spacing w:line="360" w:lineRule="auto"/>
        <w:ind w:left="0" w:leftChars="0" w:firstLine="480" w:firstLineChars="200"/>
        <w:rPr>
          <w:rFonts w:hint="eastAsia" w:ascii="宋体" w:hAnsi="宋体"/>
          <w:sz w:val="24"/>
          <w:highlight w:val="none"/>
        </w:rPr>
      </w:pPr>
      <w:r>
        <w:rPr>
          <w:rFonts w:hint="eastAsia" w:hAnsi="宋体"/>
          <w:sz w:val="24"/>
        </w:rPr>
        <w:t>谈判小组所有成员集中与单一供应商分别进行谈判</w:t>
      </w:r>
      <w:r>
        <w:rPr>
          <w:rFonts w:hAnsi="宋体"/>
          <w:sz w:val="24"/>
        </w:rPr>
        <w:t>，各供应商最终报价函必须经授权代</w:t>
      </w:r>
      <w:r>
        <w:rPr>
          <w:rFonts w:hAnsi="宋体"/>
          <w:sz w:val="24"/>
          <w:highlight w:val="none"/>
        </w:rPr>
        <w:t>表签字且按指定时间同时送达谈判小组，否则仍按原报价进行评审。</w:t>
      </w:r>
      <w:r>
        <w:rPr>
          <w:rFonts w:hint="eastAsia" w:hAnsi="宋体"/>
          <w:b/>
          <w:sz w:val="24"/>
          <w:highlight w:val="none"/>
        </w:rPr>
        <w:t>多次报价中的优惠均有效，</w:t>
      </w:r>
      <w:r>
        <w:rPr>
          <w:rFonts w:hint="eastAsia" w:ascii="宋体" w:hAnsi="宋体" w:eastAsia="宋体" w:cs="Times New Roman"/>
          <w:sz w:val="24"/>
          <w:highlight w:val="none"/>
          <w:lang w:val="en-US" w:eastAsia="zh-CN"/>
        </w:rPr>
        <w:t>评审人员根据评分表内容对各个</w:t>
      </w:r>
      <w:r>
        <w:rPr>
          <w:rFonts w:hint="eastAsia" w:ascii="宋体" w:hAnsi="宋体" w:eastAsia="宋体" w:cs="Times New Roman"/>
          <w:sz w:val="24"/>
          <w:highlight w:val="none"/>
        </w:rPr>
        <w:t>供应商</w:t>
      </w:r>
      <w:r>
        <w:rPr>
          <w:rFonts w:hint="eastAsia" w:ascii="宋体" w:hAnsi="宋体" w:eastAsia="宋体" w:cs="Times New Roman"/>
          <w:sz w:val="24"/>
          <w:highlight w:val="none"/>
          <w:lang w:val="en-US" w:eastAsia="zh-CN"/>
        </w:rPr>
        <w:t>进行打分，按照综合得分</w:t>
      </w:r>
      <w:r>
        <w:rPr>
          <w:rFonts w:hint="eastAsia" w:ascii="宋体" w:hAnsi="宋体"/>
          <w:sz w:val="24"/>
          <w:highlight w:val="none"/>
        </w:rPr>
        <w:t>由</w:t>
      </w:r>
      <w:r>
        <w:rPr>
          <w:rFonts w:hint="eastAsia" w:ascii="宋体" w:hAnsi="宋体"/>
          <w:sz w:val="24"/>
          <w:highlight w:val="none"/>
          <w:lang w:val="en-US" w:eastAsia="zh-CN"/>
        </w:rPr>
        <w:t>高</w:t>
      </w:r>
      <w:r>
        <w:rPr>
          <w:rFonts w:hint="eastAsia" w:ascii="宋体" w:hAnsi="宋体"/>
          <w:sz w:val="24"/>
          <w:highlight w:val="none"/>
        </w:rPr>
        <w:t>到</w:t>
      </w:r>
      <w:r>
        <w:rPr>
          <w:rFonts w:hint="eastAsia" w:ascii="宋体" w:hAnsi="宋体"/>
          <w:sz w:val="24"/>
          <w:highlight w:val="none"/>
          <w:lang w:val="en-US" w:eastAsia="zh-CN"/>
        </w:rPr>
        <w:t>低</w:t>
      </w:r>
      <w:r>
        <w:rPr>
          <w:rFonts w:hint="eastAsia" w:ascii="宋体" w:hAnsi="宋体"/>
          <w:sz w:val="24"/>
          <w:highlight w:val="none"/>
        </w:rPr>
        <w:t>的顺序推荐</w:t>
      </w:r>
      <w:r>
        <w:rPr>
          <w:rFonts w:hint="eastAsia"/>
          <w:sz w:val="24"/>
          <w:highlight w:val="none"/>
          <w:lang w:val="en-US" w:eastAsia="zh-CN"/>
        </w:rPr>
        <w:t>2</w:t>
      </w:r>
      <w:r>
        <w:rPr>
          <w:rFonts w:hint="eastAsia" w:ascii="宋体" w:hAnsi="宋体"/>
          <w:sz w:val="24"/>
          <w:highlight w:val="none"/>
        </w:rPr>
        <w:t>名成交候选人。</w:t>
      </w:r>
    </w:p>
    <w:p w14:paraId="120465DC">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采购人从评审报告提出的成交候选人中，根据质量和服务均能满足谈判文件实质性响应要求且</w:t>
      </w:r>
      <w:r>
        <w:rPr>
          <w:rFonts w:hint="eastAsia" w:ascii="宋体" w:hAnsi="宋体"/>
          <w:sz w:val="24"/>
          <w:highlight w:val="none"/>
          <w:lang w:val="en-US" w:eastAsia="zh-CN"/>
        </w:rPr>
        <w:t>综合得分最高</w:t>
      </w:r>
      <w:r>
        <w:rPr>
          <w:rFonts w:hint="eastAsia" w:ascii="宋体" w:hAnsi="宋体"/>
          <w:sz w:val="24"/>
          <w:highlight w:val="none"/>
        </w:rPr>
        <w:t>的原则确定成交供应商。</w:t>
      </w:r>
    </w:p>
    <w:p w14:paraId="4FB50035">
      <w:pPr>
        <w:spacing w:line="360" w:lineRule="auto"/>
        <w:ind w:left="0" w:leftChars="0" w:firstLine="480" w:firstLineChars="200"/>
        <w:rPr>
          <w:rFonts w:hint="eastAsia" w:ascii="宋体" w:hAnsi="宋体"/>
          <w:sz w:val="24"/>
        </w:rPr>
      </w:pPr>
      <w:r>
        <w:rPr>
          <w:rFonts w:hint="eastAsia" w:ascii="宋体" w:hAnsi="宋体"/>
          <w:sz w:val="24"/>
          <w:highlight w:val="none"/>
        </w:rPr>
        <w:t>当确定的成交供应商放弃成交或者因不可抗力提出不能履行</w:t>
      </w:r>
      <w:r>
        <w:rPr>
          <w:rFonts w:hint="eastAsia" w:ascii="宋体" w:hAnsi="宋体"/>
          <w:sz w:val="24"/>
        </w:rPr>
        <w:t>合同时，采购人有权将合同授予报价排名第二的成交(候选)供应商，或重新采购。</w:t>
      </w:r>
    </w:p>
    <w:p w14:paraId="5F130A50">
      <w:pPr>
        <w:spacing w:line="360" w:lineRule="auto"/>
        <w:ind w:left="0" w:leftChars="0" w:firstLine="480" w:firstLineChars="200"/>
        <w:rPr>
          <w:rFonts w:hint="eastAsia"/>
          <w:sz w:val="24"/>
        </w:rPr>
      </w:pPr>
      <w:r>
        <w:rPr>
          <w:rFonts w:hint="eastAsia"/>
          <w:sz w:val="24"/>
        </w:rPr>
        <w:t>6.2、谈判小组经评审，认为所有报价都不符合竞争性谈判文件的要求的，可以否决所有报价，采购人将依法重新组织采购。</w:t>
      </w:r>
    </w:p>
    <w:p w14:paraId="48F7C20A">
      <w:pPr>
        <w:pStyle w:val="30"/>
        <w:rPr>
          <w:rStyle w:val="19"/>
          <w:b w:val="0"/>
          <w:bCs w:val="0"/>
        </w:rPr>
      </w:pPr>
      <w:r>
        <w:rPr>
          <w:rStyle w:val="19"/>
          <w:rFonts w:hint="eastAsia"/>
          <w:b w:val="0"/>
          <w:bCs w:val="0"/>
        </w:rPr>
        <w:t>7.合同授予</w:t>
      </w:r>
      <w:bookmarkEnd w:id="80"/>
      <w:bookmarkEnd w:id="81"/>
    </w:p>
    <w:p w14:paraId="5EA61DDA">
      <w:pPr>
        <w:pStyle w:val="32"/>
      </w:pPr>
      <w:bookmarkStart w:id="82" w:name="_Toc506105855"/>
      <w:bookmarkStart w:id="83" w:name="_Toc507936047"/>
      <w:r>
        <w:rPr>
          <w:rFonts w:hint="eastAsia"/>
        </w:rPr>
        <w:t>7.1</w:t>
      </w:r>
      <w:r>
        <w:rPr>
          <w:rFonts w:hint="eastAsia"/>
          <w:lang w:val="en-US" w:eastAsia="zh-CN"/>
        </w:rPr>
        <w:t>成交</w:t>
      </w:r>
      <w:r>
        <w:rPr>
          <w:rFonts w:hint="eastAsia"/>
        </w:rPr>
        <w:t>方式</w:t>
      </w:r>
      <w:bookmarkEnd w:id="82"/>
      <w:bookmarkEnd w:id="83"/>
    </w:p>
    <w:p w14:paraId="3F5A2F28">
      <w:pPr>
        <w:spacing w:line="360" w:lineRule="auto"/>
        <w:ind w:firstLine="480"/>
        <w:jc w:val="left"/>
        <w:rPr>
          <w:rFonts w:ascii="宋体" w:hAnsi="宋体" w:cs="仿宋"/>
          <w:sz w:val="24"/>
        </w:rPr>
      </w:pPr>
      <w:r>
        <w:rPr>
          <w:rFonts w:hint="eastAsia" w:cs="仿宋"/>
          <w:sz w:val="24"/>
          <w:lang w:val="en-US" w:eastAsia="zh-CN"/>
        </w:rPr>
        <w:t>采购</w:t>
      </w:r>
      <w:r>
        <w:rPr>
          <w:rFonts w:hint="eastAsia" w:ascii="宋体" w:hAnsi="宋体" w:cs="仿宋"/>
          <w:sz w:val="24"/>
        </w:rPr>
        <w:t>人根据评</w:t>
      </w:r>
      <w:r>
        <w:rPr>
          <w:rFonts w:hint="eastAsia" w:cs="仿宋"/>
          <w:sz w:val="24"/>
          <w:lang w:val="en-US" w:eastAsia="zh-CN"/>
        </w:rPr>
        <w:t>审</w:t>
      </w:r>
      <w:r>
        <w:rPr>
          <w:rFonts w:hint="eastAsia" w:ascii="宋体" w:hAnsi="宋体" w:cs="仿宋"/>
          <w:sz w:val="24"/>
        </w:rPr>
        <w:t>报告中推荐的</w:t>
      </w:r>
      <w:r>
        <w:rPr>
          <w:rFonts w:hint="eastAsia" w:cs="仿宋"/>
          <w:sz w:val="24"/>
          <w:lang w:val="en-US" w:eastAsia="zh-CN"/>
        </w:rPr>
        <w:t>成交</w:t>
      </w:r>
      <w:r>
        <w:rPr>
          <w:rFonts w:hint="eastAsia" w:ascii="宋体" w:hAnsi="宋体" w:cs="仿宋"/>
          <w:sz w:val="24"/>
        </w:rPr>
        <w:t>人候选人择优选定</w:t>
      </w:r>
      <w:r>
        <w:rPr>
          <w:rFonts w:hint="eastAsia" w:cs="仿宋"/>
          <w:sz w:val="24"/>
          <w:lang w:val="en-US" w:eastAsia="zh-CN"/>
        </w:rPr>
        <w:t>成交</w:t>
      </w:r>
      <w:r>
        <w:rPr>
          <w:rFonts w:hint="eastAsia" w:ascii="宋体" w:hAnsi="宋体" w:cs="仿宋"/>
          <w:sz w:val="24"/>
        </w:rPr>
        <w:t>人。</w:t>
      </w:r>
    </w:p>
    <w:p w14:paraId="33113A5E">
      <w:pPr>
        <w:pStyle w:val="32"/>
      </w:pPr>
      <w:bookmarkStart w:id="84" w:name="_Toc506105856"/>
      <w:bookmarkStart w:id="85" w:name="_Toc507936048"/>
      <w:r>
        <w:rPr>
          <w:rFonts w:hint="eastAsia"/>
        </w:rPr>
        <w:t>7.2</w:t>
      </w:r>
      <w:r>
        <w:rPr>
          <w:rFonts w:hint="eastAsia"/>
          <w:lang w:val="en-US" w:eastAsia="zh-CN"/>
        </w:rPr>
        <w:t>成交</w:t>
      </w:r>
      <w:r>
        <w:rPr>
          <w:rFonts w:hint="eastAsia"/>
        </w:rPr>
        <w:t>通知</w:t>
      </w:r>
      <w:bookmarkEnd w:id="84"/>
      <w:bookmarkEnd w:id="85"/>
    </w:p>
    <w:p w14:paraId="021DB469">
      <w:pPr>
        <w:spacing w:line="360" w:lineRule="auto"/>
        <w:ind w:firstLine="480" w:firstLineChars="200"/>
        <w:rPr>
          <w:rFonts w:ascii="宋体" w:hAnsi="宋体" w:cs="仿宋"/>
          <w:sz w:val="24"/>
        </w:rPr>
      </w:pPr>
      <w:bookmarkStart w:id="86" w:name="_Toc507936049"/>
      <w:bookmarkStart w:id="87" w:name="_Toc506105857"/>
      <w:r>
        <w:rPr>
          <w:rFonts w:hint="eastAsia" w:cs="仿宋"/>
          <w:sz w:val="24"/>
          <w:lang w:val="en-US" w:eastAsia="zh-CN"/>
        </w:rPr>
        <w:t>成交</w:t>
      </w:r>
      <w:r>
        <w:rPr>
          <w:rFonts w:hint="eastAsia" w:ascii="宋体" w:hAnsi="宋体" w:cs="仿宋"/>
          <w:sz w:val="24"/>
        </w:rPr>
        <w:t>结果通过</w:t>
      </w:r>
      <w:r>
        <w:rPr>
          <w:rFonts w:hint="eastAsia" w:eastAsia="宋体" w:cs="宋体"/>
          <w:sz w:val="24"/>
          <w:lang w:val="en-US" w:eastAsia="zh-CN"/>
        </w:rPr>
        <w:t>济钢集团有限公司阳光购销平台</w:t>
      </w:r>
      <w:r>
        <w:rPr>
          <w:rFonts w:hint="eastAsia" w:ascii="宋体" w:hAnsi="宋体" w:cs="仿宋"/>
          <w:sz w:val="24"/>
        </w:rPr>
        <w:t>公示。公示期结束后，</w:t>
      </w:r>
      <w:r>
        <w:rPr>
          <w:rFonts w:hint="eastAsia" w:cs="仿宋"/>
          <w:sz w:val="24"/>
          <w:lang w:val="en-US" w:eastAsia="zh-CN"/>
        </w:rPr>
        <w:t>采购</w:t>
      </w:r>
      <w:r>
        <w:rPr>
          <w:rFonts w:hint="eastAsia" w:ascii="宋体" w:hAnsi="宋体" w:cs="仿宋"/>
          <w:sz w:val="24"/>
        </w:rPr>
        <w:t>人以书面形式向</w:t>
      </w:r>
      <w:r>
        <w:rPr>
          <w:rFonts w:hint="eastAsia" w:cs="仿宋"/>
          <w:sz w:val="24"/>
          <w:lang w:val="en-US" w:eastAsia="zh-CN"/>
        </w:rPr>
        <w:t>成交</w:t>
      </w:r>
      <w:r>
        <w:rPr>
          <w:rFonts w:hint="eastAsia" w:ascii="宋体" w:hAnsi="宋体" w:cs="仿宋"/>
          <w:sz w:val="24"/>
        </w:rPr>
        <w:t>人发出</w:t>
      </w:r>
      <w:r>
        <w:rPr>
          <w:rFonts w:hint="eastAsia" w:cs="仿宋"/>
          <w:sz w:val="24"/>
          <w:lang w:val="en-US" w:eastAsia="zh-CN"/>
        </w:rPr>
        <w:t>成交</w:t>
      </w:r>
      <w:r>
        <w:rPr>
          <w:rFonts w:hint="eastAsia" w:ascii="宋体" w:hAnsi="宋体" w:cs="仿宋"/>
          <w:sz w:val="24"/>
        </w:rPr>
        <w:t>通知书</w:t>
      </w:r>
    </w:p>
    <w:p w14:paraId="3C34D288">
      <w:pPr>
        <w:pStyle w:val="32"/>
      </w:pPr>
      <w:r>
        <w:rPr>
          <w:rFonts w:hint="eastAsia"/>
        </w:rPr>
        <w:t>7.3履约担保</w:t>
      </w:r>
      <w:bookmarkEnd w:id="86"/>
      <w:bookmarkEnd w:id="87"/>
    </w:p>
    <w:p w14:paraId="753910BC">
      <w:pPr>
        <w:spacing w:line="360" w:lineRule="auto"/>
        <w:ind w:firstLine="480" w:firstLineChars="200"/>
        <w:rPr>
          <w:rFonts w:ascii="宋体" w:hAnsi="宋体" w:cs="仿宋"/>
          <w:sz w:val="24"/>
        </w:rPr>
      </w:pPr>
      <w:r>
        <w:rPr>
          <w:rFonts w:hint="eastAsia" w:ascii="宋体" w:hAnsi="宋体" w:cs="仿宋"/>
          <w:sz w:val="24"/>
        </w:rPr>
        <w:t>7.</w:t>
      </w:r>
      <w:r>
        <w:rPr>
          <w:rFonts w:hint="eastAsia" w:cs="仿宋"/>
          <w:sz w:val="24"/>
          <w:lang w:val="en-US" w:eastAsia="zh-CN"/>
        </w:rPr>
        <w:t>3</w:t>
      </w:r>
      <w:r>
        <w:rPr>
          <w:rFonts w:hint="eastAsia" w:ascii="宋体" w:hAnsi="宋体" w:cs="仿宋"/>
          <w:sz w:val="24"/>
        </w:rPr>
        <w:t>.1 签订合同前，</w:t>
      </w:r>
      <w:r>
        <w:rPr>
          <w:rFonts w:hint="eastAsia" w:cs="仿宋"/>
          <w:sz w:val="24"/>
          <w:lang w:val="en-US" w:eastAsia="zh-CN"/>
        </w:rPr>
        <w:t>成交</w:t>
      </w:r>
      <w:r>
        <w:rPr>
          <w:rFonts w:hint="eastAsia" w:ascii="宋体" w:hAnsi="宋体" w:cs="仿宋"/>
          <w:sz w:val="24"/>
        </w:rPr>
        <w:t>人应按</w:t>
      </w:r>
      <w:r>
        <w:rPr>
          <w:rFonts w:hint="eastAsia" w:cs="仿宋"/>
          <w:sz w:val="24"/>
          <w:lang w:val="en-US" w:eastAsia="zh-CN"/>
        </w:rPr>
        <w:t>谈判</w:t>
      </w:r>
      <w:r>
        <w:rPr>
          <w:rFonts w:hint="eastAsia" w:ascii="宋体" w:hAnsi="宋体" w:cs="仿宋"/>
          <w:sz w:val="24"/>
        </w:rPr>
        <w:t>须知前附表规定向</w:t>
      </w:r>
      <w:r>
        <w:rPr>
          <w:rFonts w:hint="eastAsia" w:cs="仿宋"/>
          <w:sz w:val="24"/>
          <w:lang w:val="en-US" w:eastAsia="zh-CN"/>
        </w:rPr>
        <w:t>采购</w:t>
      </w:r>
      <w:r>
        <w:rPr>
          <w:rFonts w:hint="eastAsia" w:ascii="宋体" w:hAnsi="宋体" w:cs="仿宋"/>
          <w:sz w:val="24"/>
        </w:rPr>
        <w:t>人提交履约担保。</w:t>
      </w:r>
    </w:p>
    <w:p w14:paraId="6E8CBD75">
      <w:pPr>
        <w:spacing w:line="360" w:lineRule="auto"/>
        <w:ind w:firstLine="480" w:firstLineChars="200"/>
        <w:rPr>
          <w:rFonts w:hint="eastAsia" w:ascii="宋体" w:hAnsi="宋体" w:cs="仿宋"/>
          <w:bCs/>
          <w:sz w:val="24"/>
        </w:rPr>
      </w:pPr>
      <w:r>
        <w:rPr>
          <w:rFonts w:hint="eastAsia" w:ascii="宋体" w:hAnsi="宋体" w:cs="仿宋"/>
          <w:bCs/>
          <w:sz w:val="24"/>
        </w:rPr>
        <w:t>7.</w:t>
      </w:r>
      <w:r>
        <w:rPr>
          <w:rFonts w:hint="eastAsia" w:cs="仿宋"/>
          <w:bCs/>
          <w:sz w:val="24"/>
          <w:lang w:val="en-US" w:eastAsia="zh-CN"/>
        </w:rPr>
        <w:t>3</w:t>
      </w:r>
      <w:r>
        <w:rPr>
          <w:rFonts w:hint="eastAsia" w:ascii="宋体" w:hAnsi="宋体" w:cs="仿宋"/>
          <w:bCs/>
          <w:sz w:val="24"/>
        </w:rPr>
        <w:t xml:space="preserve">.2 </w:t>
      </w:r>
      <w:r>
        <w:rPr>
          <w:rFonts w:hint="eastAsia" w:cs="仿宋"/>
          <w:sz w:val="24"/>
          <w:lang w:val="en-US" w:eastAsia="zh-CN"/>
        </w:rPr>
        <w:t>成交</w:t>
      </w:r>
      <w:r>
        <w:rPr>
          <w:rFonts w:hint="eastAsia" w:ascii="宋体" w:hAnsi="宋体" w:cs="仿宋"/>
          <w:bCs/>
          <w:sz w:val="24"/>
        </w:rPr>
        <w:t>人不能按</w:t>
      </w:r>
      <w:r>
        <w:rPr>
          <w:rFonts w:hint="eastAsia" w:cs="仿宋"/>
          <w:sz w:val="24"/>
          <w:lang w:val="en-US" w:eastAsia="zh-CN"/>
        </w:rPr>
        <w:t>谈判邀请书</w:t>
      </w:r>
      <w:r>
        <w:rPr>
          <w:rFonts w:hint="eastAsia" w:ascii="宋体" w:hAnsi="宋体" w:cs="仿宋"/>
          <w:sz w:val="24"/>
        </w:rPr>
        <w:t>规定</w:t>
      </w:r>
      <w:r>
        <w:rPr>
          <w:rFonts w:hint="eastAsia" w:ascii="宋体" w:hAnsi="宋体" w:cs="仿宋"/>
          <w:bCs/>
          <w:sz w:val="24"/>
        </w:rPr>
        <w:t>要求提交履约担保的，视为放弃</w:t>
      </w:r>
      <w:r>
        <w:rPr>
          <w:rFonts w:hint="eastAsia" w:cs="仿宋"/>
          <w:sz w:val="24"/>
          <w:lang w:val="en-US" w:eastAsia="zh-CN"/>
        </w:rPr>
        <w:t>成交</w:t>
      </w:r>
      <w:r>
        <w:rPr>
          <w:rFonts w:hint="eastAsia" w:ascii="宋体" w:hAnsi="宋体" w:cs="仿宋"/>
          <w:bCs/>
          <w:sz w:val="24"/>
        </w:rPr>
        <w:t>，其</w:t>
      </w:r>
      <w:r>
        <w:rPr>
          <w:rFonts w:hint="eastAsia" w:cs="仿宋"/>
          <w:bCs/>
          <w:sz w:val="24"/>
          <w:lang w:val="en-US" w:eastAsia="zh-CN"/>
        </w:rPr>
        <w:t>谈判</w:t>
      </w:r>
      <w:r>
        <w:rPr>
          <w:rFonts w:hint="eastAsia" w:ascii="宋体" w:hAnsi="宋体" w:cs="仿宋"/>
          <w:bCs/>
          <w:sz w:val="24"/>
        </w:rPr>
        <w:t>保证金不予退还，给</w:t>
      </w:r>
      <w:r>
        <w:rPr>
          <w:rFonts w:hint="eastAsia" w:cs="仿宋"/>
          <w:bCs/>
          <w:sz w:val="24"/>
          <w:lang w:val="en-US" w:eastAsia="zh-CN"/>
        </w:rPr>
        <w:t>采购</w:t>
      </w:r>
      <w:r>
        <w:rPr>
          <w:rFonts w:hint="eastAsia" w:ascii="宋体" w:hAnsi="宋体" w:cs="仿宋"/>
          <w:bCs/>
          <w:sz w:val="24"/>
        </w:rPr>
        <w:t>人造成的损失超过</w:t>
      </w:r>
      <w:r>
        <w:rPr>
          <w:rFonts w:hint="eastAsia" w:cs="仿宋"/>
          <w:bCs/>
          <w:sz w:val="24"/>
          <w:lang w:val="en-US" w:eastAsia="zh-CN"/>
        </w:rPr>
        <w:t>谈判</w:t>
      </w:r>
      <w:r>
        <w:rPr>
          <w:rFonts w:hint="eastAsia" w:ascii="宋体" w:hAnsi="宋体" w:cs="仿宋"/>
          <w:bCs/>
          <w:sz w:val="24"/>
        </w:rPr>
        <w:t>保证金数额的，</w:t>
      </w:r>
      <w:r>
        <w:rPr>
          <w:rFonts w:hint="eastAsia" w:cs="仿宋"/>
          <w:sz w:val="24"/>
          <w:lang w:val="en-US" w:eastAsia="zh-CN"/>
        </w:rPr>
        <w:t>成交</w:t>
      </w:r>
      <w:r>
        <w:rPr>
          <w:rFonts w:hint="eastAsia" w:ascii="宋体" w:hAnsi="宋体" w:cs="仿宋"/>
          <w:bCs/>
          <w:sz w:val="24"/>
        </w:rPr>
        <w:t>人还应当对超过部分予以赔偿。</w:t>
      </w:r>
    </w:p>
    <w:p w14:paraId="3E87ADAB">
      <w:pPr>
        <w:pStyle w:val="32"/>
        <w:rPr>
          <w:rFonts w:hint="eastAsia"/>
        </w:rPr>
      </w:pPr>
      <w:r>
        <w:rPr>
          <w:rFonts w:hint="eastAsia"/>
          <w:lang w:val="en-US" w:eastAsia="zh-CN"/>
        </w:rPr>
        <w:t>7.4</w:t>
      </w:r>
      <w:r>
        <w:rPr>
          <w:rFonts w:hint="eastAsia"/>
        </w:rPr>
        <w:t>签订合同</w:t>
      </w:r>
    </w:p>
    <w:p w14:paraId="518FE646">
      <w:pPr>
        <w:spacing w:line="360" w:lineRule="auto"/>
        <w:ind w:firstLine="420" w:firstLineChars="200"/>
        <w:rPr>
          <w:rFonts w:hint="eastAsia" w:cs="仿宋"/>
        </w:rPr>
      </w:pPr>
      <w:r>
        <w:rPr>
          <w:rFonts w:cs="仿宋"/>
        </w:rPr>
        <w:t xml:space="preserve"> </w:t>
      </w:r>
      <w:r>
        <w:rPr>
          <w:rFonts w:hint="eastAsia" w:cs="仿宋"/>
        </w:rPr>
        <w:t>应当在</w:t>
      </w:r>
      <w:r>
        <w:rPr>
          <w:rFonts w:hint="eastAsia" w:cs="仿宋"/>
          <w:lang w:val="en-US" w:eastAsia="zh-CN"/>
        </w:rPr>
        <w:t>成交</w:t>
      </w:r>
      <w:r>
        <w:rPr>
          <w:rFonts w:hint="eastAsia" w:cs="仿宋"/>
        </w:rPr>
        <w:t>通知书发出之日起</w:t>
      </w:r>
      <w:r>
        <w:rPr>
          <w:rFonts w:hint="eastAsia" w:cs="仿宋"/>
          <w:lang w:val="en-US" w:eastAsia="zh-CN"/>
        </w:rPr>
        <w:t>7</w:t>
      </w:r>
      <w:r>
        <w:rPr>
          <w:rFonts w:hint="eastAsia" w:cs="仿宋"/>
        </w:rPr>
        <w:t>日内，根据</w:t>
      </w:r>
      <w:r>
        <w:rPr>
          <w:rFonts w:hint="eastAsia" w:cs="仿宋"/>
          <w:lang w:val="en-US" w:eastAsia="zh-CN"/>
        </w:rPr>
        <w:t>谈判</w:t>
      </w:r>
      <w:r>
        <w:rPr>
          <w:rFonts w:hint="eastAsia" w:cs="仿宋"/>
        </w:rPr>
        <w:t>文</w:t>
      </w:r>
      <w:r>
        <w:rPr>
          <w:rFonts w:hint="eastAsia" w:cs="仿宋"/>
          <w:lang w:val="en-US" w:eastAsia="zh-CN"/>
        </w:rPr>
        <w:t>件和供应商的响应</w:t>
      </w:r>
      <w:r>
        <w:rPr>
          <w:rFonts w:hint="eastAsia" w:cs="仿宋"/>
        </w:rPr>
        <w:t>文件订立书面合同。</w:t>
      </w:r>
      <w:r>
        <w:rPr>
          <w:rFonts w:hint="eastAsia" w:cs="仿宋"/>
          <w:sz w:val="24"/>
          <w:lang w:val="en-US" w:eastAsia="zh-CN"/>
        </w:rPr>
        <w:t>供应商</w:t>
      </w:r>
      <w:r>
        <w:rPr>
          <w:rFonts w:hint="eastAsia" w:cs="仿宋"/>
        </w:rPr>
        <w:t>无正当理由拒签合同，在签订合同时向</w:t>
      </w:r>
      <w:r>
        <w:rPr>
          <w:rFonts w:hint="eastAsia" w:cs="仿宋"/>
          <w:lang w:val="en-US" w:eastAsia="zh-CN"/>
        </w:rPr>
        <w:t>采购</w:t>
      </w:r>
      <w:r>
        <w:rPr>
          <w:rFonts w:hint="eastAsia" w:cs="仿宋"/>
        </w:rPr>
        <w:t>人提出附加条件，或者不按照</w:t>
      </w:r>
      <w:r>
        <w:rPr>
          <w:rFonts w:hint="eastAsia" w:cs="仿宋"/>
          <w:lang w:val="en-US" w:eastAsia="zh-CN"/>
        </w:rPr>
        <w:t>谈判</w:t>
      </w:r>
      <w:r>
        <w:rPr>
          <w:rFonts w:hint="eastAsia" w:cs="仿宋"/>
        </w:rPr>
        <w:t>文件要求提交履约保证金的，</w:t>
      </w:r>
      <w:r>
        <w:rPr>
          <w:rFonts w:hint="eastAsia" w:cs="仿宋"/>
          <w:lang w:val="en-US" w:eastAsia="zh-CN"/>
        </w:rPr>
        <w:t>采购</w:t>
      </w:r>
      <w:r>
        <w:rPr>
          <w:rFonts w:hint="eastAsia" w:cs="仿宋"/>
        </w:rPr>
        <w:t>人有权取消其</w:t>
      </w:r>
      <w:r>
        <w:rPr>
          <w:rFonts w:hint="eastAsia" w:cs="仿宋"/>
          <w:lang w:val="en-US" w:eastAsia="zh-CN"/>
        </w:rPr>
        <w:t>成交</w:t>
      </w:r>
      <w:r>
        <w:rPr>
          <w:rFonts w:hint="eastAsia" w:cs="仿宋"/>
        </w:rPr>
        <w:t>资格，其</w:t>
      </w:r>
      <w:r>
        <w:rPr>
          <w:rFonts w:hint="eastAsia" w:cs="仿宋"/>
          <w:lang w:val="en-US" w:eastAsia="zh-CN"/>
        </w:rPr>
        <w:t>谈判</w:t>
      </w:r>
      <w:r>
        <w:rPr>
          <w:rFonts w:hint="eastAsia" w:cs="仿宋"/>
        </w:rPr>
        <w:t>保证金不予退还；给</w:t>
      </w:r>
      <w:r>
        <w:rPr>
          <w:rFonts w:hint="eastAsia" w:cs="仿宋"/>
          <w:lang w:val="en-US" w:eastAsia="zh-CN"/>
        </w:rPr>
        <w:t>采购</w:t>
      </w:r>
      <w:r>
        <w:rPr>
          <w:rFonts w:hint="eastAsia" w:cs="仿宋"/>
        </w:rPr>
        <w:t>人造成的损失超过</w:t>
      </w:r>
      <w:r>
        <w:rPr>
          <w:rFonts w:hint="eastAsia" w:cs="仿宋"/>
          <w:lang w:val="en-US" w:eastAsia="zh-CN"/>
        </w:rPr>
        <w:t>谈判</w:t>
      </w:r>
      <w:r>
        <w:rPr>
          <w:rFonts w:hint="eastAsia" w:cs="仿宋"/>
        </w:rPr>
        <w:t>保证金数额的，</w:t>
      </w:r>
      <w:r>
        <w:rPr>
          <w:rFonts w:hint="eastAsia" w:cs="仿宋"/>
          <w:lang w:val="en-US" w:eastAsia="zh-CN"/>
        </w:rPr>
        <w:t>供应商</w:t>
      </w:r>
      <w:r>
        <w:rPr>
          <w:rFonts w:hint="eastAsia" w:cs="仿宋"/>
        </w:rPr>
        <w:t>还应当对超过部分予以赔偿。</w:t>
      </w:r>
    </w:p>
    <w:p w14:paraId="3BBE53ED">
      <w:pPr>
        <w:pStyle w:val="30"/>
        <w:rPr>
          <w:rStyle w:val="19"/>
          <w:rFonts w:hint="eastAsia" w:eastAsia="宋体"/>
          <w:b w:val="0"/>
          <w:bCs w:val="0"/>
          <w:lang w:eastAsia="zh-CN"/>
        </w:rPr>
      </w:pPr>
      <w:bookmarkStart w:id="88" w:name="_Toc506105859"/>
      <w:bookmarkStart w:id="89" w:name="_Toc507936051"/>
      <w:r>
        <w:rPr>
          <w:rStyle w:val="19"/>
          <w:rFonts w:hint="eastAsia"/>
          <w:b w:val="0"/>
          <w:bCs w:val="0"/>
        </w:rPr>
        <w:t>8.重新</w:t>
      </w:r>
      <w:bookmarkEnd w:id="88"/>
      <w:bookmarkEnd w:id="89"/>
      <w:bookmarkStart w:id="90" w:name="_Toc506105860"/>
      <w:r>
        <w:rPr>
          <w:rStyle w:val="19"/>
          <w:rFonts w:hint="eastAsia" w:eastAsia="宋体"/>
          <w:b w:val="0"/>
          <w:bCs w:val="0"/>
          <w:lang w:val="en-US" w:eastAsia="zh-CN"/>
        </w:rPr>
        <w:t>谈判</w:t>
      </w:r>
    </w:p>
    <w:bookmarkEnd w:id="90"/>
    <w:p w14:paraId="725B53DB">
      <w:pPr>
        <w:pStyle w:val="32"/>
        <w:rPr>
          <w:rFonts w:hint="eastAsia" w:eastAsia="宋体"/>
          <w:lang w:eastAsia="zh-CN"/>
        </w:rPr>
      </w:pPr>
      <w:bookmarkStart w:id="91" w:name="_Toc507936052"/>
      <w:r>
        <w:rPr>
          <w:rFonts w:hint="eastAsia"/>
        </w:rPr>
        <w:t>8.1重新</w:t>
      </w:r>
      <w:bookmarkEnd w:id="91"/>
      <w:r>
        <w:rPr>
          <w:rFonts w:hint="eastAsia"/>
          <w:lang w:val="en-US" w:eastAsia="zh-CN"/>
        </w:rPr>
        <w:t>谈判</w:t>
      </w:r>
    </w:p>
    <w:p w14:paraId="2A664A83">
      <w:pPr>
        <w:spacing w:line="360" w:lineRule="auto"/>
        <w:rPr>
          <w:rFonts w:ascii="宋体" w:hAnsi="宋体" w:cs="仿宋"/>
          <w:sz w:val="28"/>
          <w:szCs w:val="28"/>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5CE239FE">
      <w:pPr>
        <w:pStyle w:val="30"/>
        <w:rPr>
          <w:rStyle w:val="19"/>
          <w:b w:val="0"/>
          <w:bCs w:val="0"/>
        </w:rPr>
      </w:pPr>
      <w:bookmarkStart w:id="92" w:name="_Toc446434333"/>
      <w:bookmarkStart w:id="93" w:name="_Toc269310962"/>
      <w:bookmarkStart w:id="94" w:name="_Toc152045574"/>
      <w:bookmarkStart w:id="95" w:name="_Toc312072272"/>
      <w:bookmarkStart w:id="96" w:name="_Toc507936053"/>
      <w:bookmarkStart w:id="97" w:name="_Toc144974542"/>
      <w:bookmarkStart w:id="98" w:name="_Toc152042350"/>
      <w:r>
        <w:rPr>
          <w:rStyle w:val="19"/>
          <w:b w:val="0"/>
          <w:bCs w:val="0"/>
        </w:rPr>
        <w:t xml:space="preserve">9. </w:t>
      </w:r>
      <w:r>
        <w:rPr>
          <w:rStyle w:val="19"/>
          <w:rFonts w:hint="eastAsia"/>
          <w:b w:val="0"/>
          <w:bCs w:val="0"/>
        </w:rPr>
        <w:t>纪律和监督</w:t>
      </w:r>
      <w:bookmarkEnd w:id="92"/>
      <w:bookmarkEnd w:id="93"/>
      <w:bookmarkEnd w:id="94"/>
      <w:bookmarkEnd w:id="95"/>
      <w:bookmarkEnd w:id="96"/>
      <w:bookmarkEnd w:id="97"/>
      <w:bookmarkEnd w:id="98"/>
    </w:p>
    <w:p w14:paraId="50C2BE6E">
      <w:pPr>
        <w:pStyle w:val="32"/>
        <w:rPr>
          <w:rFonts w:hint="eastAsia"/>
        </w:rPr>
      </w:pPr>
      <w:bookmarkStart w:id="99" w:name="_Toc507936054"/>
      <w:bookmarkStart w:id="100" w:name="_Toc507936059"/>
      <w:bookmarkStart w:id="101" w:name="_Toc312072278"/>
      <w:bookmarkStart w:id="102" w:name="_Toc446434339"/>
      <w:bookmarkStart w:id="103" w:name="_Toc152045580"/>
      <w:bookmarkStart w:id="104" w:name="_Toc144974547"/>
      <w:bookmarkStart w:id="105" w:name="_Toc269310968"/>
      <w:bookmarkStart w:id="106" w:name="_Toc152042357"/>
      <w:r>
        <w:rPr>
          <w:rFonts w:hint="eastAsia"/>
        </w:rPr>
        <w:t>9.1对</w:t>
      </w:r>
      <w:r>
        <w:rPr>
          <w:rFonts w:hint="eastAsia"/>
          <w:lang w:val="en-US" w:eastAsia="zh-CN"/>
        </w:rPr>
        <w:t>采购</w:t>
      </w:r>
      <w:r>
        <w:rPr>
          <w:rFonts w:hint="eastAsia"/>
        </w:rPr>
        <w:t>人的纪律要求</w:t>
      </w:r>
      <w:bookmarkEnd w:id="99"/>
    </w:p>
    <w:p w14:paraId="3FE0E00E">
      <w:pPr>
        <w:spacing w:line="400" w:lineRule="exact"/>
        <w:ind w:firstLine="480" w:firstLineChars="200"/>
        <w:rPr>
          <w:sz w:val="24"/>
        </w:rPr>
      </w:pPr>
      <w:r>
        <w:rPr>
          <w:rFonts w:hint="eastAsia" w:cs="宋体"/>
          <w:sz w:val="24"/>
          <w:lang w:val="en-US" w:eastAsia="zh-CN"/>
        </w:rPr>
        <w:t>采购</w:t>
      </w:r>
      <w:r>
        <w:rPr>
          <w:rFonts w:hint="eastAsia" w:cs="宋体"/>
          <w:sz w:val="24"/>
        </w:rPr>
        <w:t>人不得泄漏</w:t>
      </w:r>
      <w:r>
        <w:rPr>
          <w:rFonts w:hint="eastAsia" w:cs="宋体"/>
          <w:sz w:val="24"/>
          <w:lang w:val="en-US" w:eastAsia="zh-CN"/>
        </w:rPr>
        <w:t>谈判</w:t>
      </w:r>
      <w:r>
        <w:rPr>
          <w:rFonts w:hint="eastAsia" w:cs="宋体"/>
          <w:sz w:val="24"/>
        </w:rPr>
        <w:t>活动中应当保密的情况和资料，不得与</w:t>
      </w:r>
      <w:r>
        <w:rPr>
          <w:rFonts w:hint="eastAsia" w:cs="宋体"/>
          <w:sz w:val="24"/>
          <w:lang w:val="en-US" w:eastAsia="zh-CN"/>
        </w:rPr>
        <w:t>供应商</w:t>
      </w:r>
      <w:r>
        <w:rPr>
          <w:rFonts w:hint="eastAsia" w:cs="宋体"/>
          <w:sz w:val="24"/>
        </w:rPr>
        <w:t>串通损害国家利益、社会公共利益和他人合法权益。</w:t>
      </w:r>
    </w:p>
    <w:p w14:paraId="13C1CA83">
      <w:pPr>
        <w:pStyle w:val="32"/>
        <w:rPr>
          <w:rFonts w:hint="eastAsia"/>
        </w:rPr>
      </w:pPr>
      <w:bookmarkStart w:id="107" w:name="_Toc507936055"/>
      <w:r>
        <w:rPr>
          <w:rFonts w:hint="eastAsia"/>
        </w:rPr>
        <w:t>9.2对</w:t>
      </w:r>
      <w:r>
        <w:rPr>
          <w:rFonts w:hint="eastAsia"/>
          <w:lang w:val="en-US" w:eastAsia="zh-CN"/>
        </w:rPr>
        <w:t>供应商</w:t>
      </w:r>
      <w:r>
        <w:rPr>
          <w:rFonts w:hint="eastAsia"/>
        </w:rPr>
        <w:t>的纪律要求</w:t>
      </w:r>
      <w:bookmarkEnd w:id="107"/>
    </w:p>
    <w:p w14:paraId="7AAF3CD4">
      <w:pPr>
        <w:spacing w:line="400" w:lineRule="exact"/>
        <w:ind w:firstLine="480" w:firstLineChars="200"/>
        <w:rPr>
          <w:sz w:val="24"/>
        </w:rPr>
      </w:pPr>
      <w:r>
        <w:rPr>
          <w:rFonts w:hint="eastAsia" w:cs="宋体"/>
          <w:sz w:val="24"/>
          <w:lang w:val="en-US" w:eastAsia="zh-CN"/>
        </w:rPr>
        <w:t>供应商</w:t>
      </w:r>
      <w:r>
        <w:rPr>
          <w:rFonts w:hint="eastAsia" w:cs="宋体"/>
          <w:sz w:val="24"/>
        </w:rPr>
        <w:t>不得相互串通或者与</w:t>
      </w:r>
      <w:r>
        <w:rPr>
          <w:rFonts w:hint="eastAsia" w:cs="宋体"/>
          <w:sz w:val="24"/>
          <w:lang w:val="en-US" w:eastAsia="zh-CN"/>
        </w:rPr>
        <w:t>采购</w:t>
      </w:r>
      <w:r>
        <w:rPr>
          <w:rFonts w:hint="eastAsia" w:cs="宋体"/>
          <w:sz w:val="24"/>
        </w:rPr>
        <w:t>人串通，不得向</w:t>
      </w:r>
      <w:r>
        <w:rPr>
          <w:rFonts w:hint="eastAsia" w:cs="宋体"/>
          <w:sz w:val="24"/>
          <w:lang w:val="en-US" w:eastAsia="zh-CN"/>
        </w:rPr>
        <w:t>采购</w:t>
      </w:r>
      <w:r>
        <w:rPr>
          <w:rFonts w:hint="eastAsia" w:cs="宋体"/>
          <w:sz w:val="24"/>
        </w:rPr>
        <w:t>人或者评</w:t>
      </w:r>
      <w:r>
        <w:rPr>
          <w:rFonts w:hint="eastAsia" w:cs="宋体"/>
          <w:sz w:val="24"/>
          <w:lang w:val="en-US" w:eastAsia="zh-CN"/>
        </w:rPr>
        <w:t>审</w:t>
      </w:r>
      <w:r>
        <w:rPr>
          <w:rFonts w:hint="eastAsia" w:cs="宋体"/>
          <w:sz w:val="24"/>
        </w:rPr>
        <w:t>委员会成员行贿谋取</w:t>
      </w:r>
      <w:r>
        <w:rPr>
          <w:rFonts w:hint="eastAsia" w:cs="仿宋"/>
          <w:sz w:val="24"/>
          <w:lang w:val="en-US" w:eastAsia="zh-CN"/>
        </w:rPr>
        <w:t>成交</w:t>
      </w:r>
      <w:r>
        <w:rPr>
          <w:rFonts w:hint="eastAsia" w:cs="宋体"/>
          <w:sz w:val="24"/>
        </w:rPr>
        <w:t>，不得以他人名义</w:t>
      </w:r>
      <w:r>
        <w:rPr>
          <w:rFonts w:hint="eastAsia" w:cs="宋体"/>
          <w:sz w:val="24"/>
          <w:lang w:val="en-US" w:eastAsia="zh-CN"/>
        </w:rPr>
        <w:t>参加谈判</w:t>
      </w:r>
      <w:r>
        <w:rPr>
          <w:rFonts w:hint="eastAsia" w:cs="宋体"/>
          <w:sz w:val="24"/>
        </w:rPr>
        <w:t>或者以其他方式弄虚作假骗取</w:t>
      </w:r>
      <w:r>
        <w:rPr>
          <w:rFonts w:hint="eastAsia" w:cs="仿宋"/>
          <w:sz w:val="24"/>
          <w:lang w:val="en-US" w:eastAsia="zh-CN"/>
        </w:rPr>
        <w:t>成交</w:t>
      </w:r>
      <w:r>
        <w:rPr>
          <w:rFonts w:hint="eastAsia" w:cs="宋体"/>
          <w:sz w:val="24"/>
        </w:rPr>
        <w:t>；</w:t>
      </w:r>
      <w:r>
        <w:rPr>
          <w:rFonts w:hint="eastAsia" w:cs="宋体"/>
          <w:sz w:val="24"/>
          <w:lang w:val="en-US" w:eastAsia="zh-CN"/>
        </w:rPr>
        <w:t>供应商</w:t>
      </w:r>
      <w:r>
        <w:rPr>
          <w:rFonts w:hint="eastAsia" w:cs="宋体"/>
          <w:sz w:val="24"/>
        </w:rPr>
        <w:t>不得以任何方式干扰、影响评</w:t>
      </w:r>
      <w:r>
        <w:rPr>
          <w:rFonts w:hint="eastAsia" w:cs="宋体"/>
          <w:sz w:val="24"/>
          <w:lang w:val="en-US" w:eastAsia="zh-CN"/>
        </w:rPr>
        <w:t>审</w:t>
      </w:r>
      <w:r>
        <w:rPr>
          <w:rFonts w:hint="eastAsia" w:cs="宋体"/>
          <w:sz w:val="24"/>
        </w:rPr>
        <w:t>工作。</w:t>
      </w:r>
    </w:p>
    <w:p w14:paraId="129A9B39">
      <w:pPr>
        <w:pStyle w:val="32"/>
      </w:pPr>
      <w:bookmarkStart w:id="108" w:name="_Toc507936056"/>
      <w:bookmarkStart w:id="109" w:name="_Toc312072275"/>
      <w:bookmarkStart w:id="110" w:name="_Toc446434336"/>
      <w:r>
        <w:t xml:space="preserve">9.3 </w:t>
      </w:r>
      <w:r>
        <w:rPr>
          <w:rFonts w:hint="eastAsia"/>
        </w:rPr>
        <w:t>对评</w:t>
      </w:r>
      <w:r>
        <w:rPr>
          <w:rFonts w:hint="eastAsia"/>
          <w:lang w:val="en-US" w:eastAsia="zh-CN"/>
        </w:rPr>
        <w:t>审</w:t>
      </w:r>
      <w:r>
        <w:rPr>
          <w:rFonts w:hint="eastAsia"/>
        </w:rPr>
        <w:t>委员会成员的纪律要求</w:t>
      </w:r>
      <w:bookmarkEnd w:id="108"/>
      <w:bookmarkEnd w:id="109"/>
      <w:bookmarkEnd w:id="110"/>
    </w:p>
    <w:p w14:paraId="2BA31A02">
      <w:pPr>
        <w:spacing w:line="400" w:lineRule="exact"/>
        <w:ind w:firstLine="480" w:firstLineChars="200"/>
        <w:rPr>
          <w:sz w:val="24"/>
        </w:rPr>
      </w:pPr>
      <w:r>
        <w:rPr>
          <w:rFonts w:hint="eastAsia" w:cs="宋体"/>
          <w:sz w:val="24"/>
        </w:rPr>
        <w:t>评</w:t>
      </w:r>
      <w:r>
        <w:rPr>
          <w:rFonts w:hint="eastAsia" w:cs="宋体"/>
          <w:sz w:val="24"/>
          <w:lang w:val="en-US" w:eastAsia="zh-CN"/>
        </w:rPr>
        <w:t>审</w:t>
      </w:r>
      <w:r>
        <w:rPr>
          <w:rFonts w:hint="eastAsia" w:cs="宋体"/>
          <w:sz w:val="24"/>
        </w:rPr>
        <w:t>委员会成员不得收受他人的财物或者其他好处，不得向他人透漏对</w:t>
      </w:r>
      <w:r>
        <w:rPr>
          <w:rFonts w:hint="eastAsia" w:cs="宋体"/>
          <w:sz w:val="24"/>
          <w:lang w:val="en-US" w:eastAsia="zh-CN"/>
        </w:rPr>
        <w:t>响应</w:t>
      </w:r>
      <w:r>
        <w:rPr>
          <w:rFonts w:hint="eastAsia" w:cs="宋体"/>
          <w:sz w:val="24"/>
        </w:rPr>
        <w:t>文件的评审和比较、</w:t>
      </w:r>
      <w:r>
        <w:rPr>
          <w:rFonts w:hint="eastAsia" w:cs="宋体"/>
          <w:sz w:val="24"/>
          <w:lang w:val="en-US" w:eastAsia="zh-CN"/>
        </w:rPr>
        <w:t>成交</w:t>
      </w:r>
      <w:r>
        <w:rPr>
          <w:rFonts w:hint="eastAsia" w:cs="宋体"/>
          <w:sz w:val="24"/>
        </w:rPr>
        <w:t>候选人的推荐情况以及与</w:t>
      </w:r>
      <w:r>
        <w:rPr>
          <w:rFonts w:hint="eastAsia" w:cs="宋体"/>
          <w:sz w:val="24"/>
          <w:lang w:eastAsia="zh-CN"/>
        </w:rPr>
        <w:t>评审</w:t>
      </w:r>
      <w:r>
        <w:rPr>
          <w:rFonts w:hint="eastAsia" w:cs="宋体"/>
          <w:sz w:val="24"/>
        </w:rPr>
        <w:t>有关的其他情况。在</w:t>
      </w:r>
      <w:r>
        <w:rPr>
          <w:rFonts w:hint="eastAsia" w:cs="宋体"/>
          <w:sz w:val="24"/>
          <w:lang w:eastAsia="zh-CN"/>
        </w:rPr>
        <w:t>评审</w:t>
      </w:r>
      <w:r>
        <w:rPr>
          <w:rFonts w:hint="eastAsia" w:cs="宋体"/>
          <w:sz w:val="24"/>
        </w:rPr>
        <w:t>活动中，</w:t>
      </w:r>
      <w:r>
        <w:rPr>
          <w:rFonts w:hint="eastAsia" w:cs="宋体"/>
          <w:sz w:val="24"/>
          <w:lang w:eastAsia="zh-CN"/>
        </w:rPr>
        <w:t>评审</w:t>
      </w:r>
      <w:r>
        <w:rPr>
          <w:rFonts w:hint="eastAsia" w:cs="宋体"/>
          <w:sz w:val="24"/>
        </w:rPr>
        <w:t>委员会成员不得擅离职守，影响</w:t>
      </w:r>
      <w:r>
        <w:rPr>
          <w:rFonts w:hint="eastAsia" w:cs="宋体"/>
          <w:sz w:val="24"/>
          <w:lang w:eastAsia="zh-CN"/>
        </w:rPr>
        <w:t>评审</w:t>
      </w:r>
      <w:r>
        <w:rPr>
          <w:rFonts w:hint="eastAsia" w:cs="宋体"/>
          <w:sz w:val="24"/>
        </w:rPr>
        <w:t>程序正常进行，不得使用第三章“</w:t>
      </w:r>
      <w:r>
        <w:rPr>
          <w:rFonts w:hint="eastAsia" w:cs="宋体"/>
          <w:sz w:val="24"/>
          <w:lang w:eastAsia="zh-CN"/>
        </w:rPr>
        <w:t>评审</w:t>
      </w:r>
      <w:r>
        <w:rPr>
          <w:rFonts w:hint="eastAsia" w:cs="宋体"/>
          <w:sz w:val="24"/>
        </w:rPr>
        <w:t>办法”没有规定的评审因素和标准进行</w:t>
      </w:r>
      <w:r>
        <w:rPr>
          <w:rFonts w:hint="eastAsia" w:cs="宋体"/>
          <w:sz w:val="24"/>
          <w:lang w:eastAsia="zh-CN"/>
        </w:rPr>
        <w:t>评审</w:t>
      </w:r>
      <w:r>
        <w:rPr>
          <w:rFonts w:hint="eastAsia" w:cs="宋体"/>
          <w:sz w:val="24"/>
        </w:rPr>
        <w:t>。</w:t>
      </w:r>
    </w:p>
    <w:p w14:paraId="35069CB3">
      <w:pPr>
        <w:pStyle w:val="32"/>
      </w:pPr>
      <w:bookmarkStart w:id="111" w:name="_Toc312072276"/>
      <w:bookmarkStart w:id="112" w:name="_Toc446434337"/>
      <w:bookmarkStart w:id="113" w:name="_Toc507936057"/>
      <w:r>
        <w:t xml:space="preserve">9.4 </w:t>
      </w:r>
      <w:r>
        <w:rPr>
          <w:rFonts w:hint="eastAsia"/>
        </w:rPr>
        <w:t>对与</w:t>
      </w:r>
      <w:r>
        <w:rPr>
          <w:rFonts w:hint="eastAsia"/>
          <w:lang w:eastAsia="zh-CN"/>
        </w:rPr>
        <w:t>评审</w:t>
      </w:r>
      <w:r>
        <w:rPr>
          <w:rFonts w:hint="eastAsia"/>
        </w:rPr>
        <w:t>活动有关的工作人员的纪律要求</w:t>
      </w:r>
      <w:bookmarkEnd w:id="111"/>
      <w:bookmarkEnd w:id="112"/>
      <w:bookmarkEnd w:id="113"/>
    </w:p>
    <w:p w14:paraId="5CF3812A">
      <w:pPr>
        <w:spacing w:line="400" w:lineRule="exact"/>
        <w:ind w:firstLine="480" w:firstLineChars="200"/>
        <w:rPr>
          <w:sz w:val="24"/>
        </w:rPr>
      </w:pPr>
      <w:r>
        <w:rPr>
          <w:rFonts w:hint="eastAsia" w:cs="宋体"/>
          <w:sz w:val="24"/>
        </w:rPr>
        <w:t>与</w:t>
      </w:r>
      <w:r>
        <w:rPr>
          <w:rFonts w:hint="eastAsia" w:cs="宋体"/>
          <w:sz w:val="24"/>
          <w:lang w:eastAsia="zh-CN"/>
        </w:rPr>
        <w:t>评审</w:t>
      </w:r>
      <w:r>
        <w:rPr>
          <w:rFonts w:hint="eastAsia" w:cs="宋体"/>
          <w:sz w:val="24"/>
        </w:rPr>
        <w:t>活动有关的工作人员不得收受他人的财物或者其他好处，不得向他人透漏对</w:t>
      </w:r>
      <w:r>
        <w:rPr>
          <w:rFonts w:hint="eastAsia" w:cs="宋体"/>
          <w:sz w:val="24"/>
          <w:lang w:val="en-US" w:eastAsia="zh-CN"/>
        </w:rPr>
        <w:t>响应</w:t>
      </w:r>
      <w:r>
        <w:rPr>
          <w:rFonts w:hint="eastAsia" w:cs="宋体"/>
          <w:sz w:val="24"/>
        </w:rPr>
        <w:t>文件的评审和比较、</w:t>
      </w:r>
      <w:r>
        <w:rPr>
          <w:rFonts w:hint="eastAsia" w:cs="仿宋"/>
          <w:sz w:val="24"/>
          <w:lang w:val="en-US" w:eastAsia="zh-CN"/>
        </w:rPr>
        <w:t>成交</w:t>
      </w:r>
      <w:r>
        <w:rPr>
          <w:rFonts w:hint="eastAsia" w:cs="宋体"/>
          <w:sz w:val="24"/>
        </w:rPr>
        <w:t>候选人的推荐情况以及与</w:t>
      </w:r>
      <w:r>
        <w:rPr>
          <w:rFonts w:hint="eastAsia" w:cs="宋体"/>
          <w:sz w:val="24"/>
          <w:lang w:eastAsia="zh-CN"/>
        </w:rPr>
        <w:t>评审</w:t>
      </w:r>
      <w:r>
        <w:rPr>
          <w:rFonts w:hint="eastAsia" w:cs="宋体"/>
          <w:sz w:val="24"/>
        </w:rPr>
        <w:t>有关的其他情况。在</w:t>
      </w:r>
      <w:r>
        <w:rPr>
          <w:rFonts w:hint="eastAsia" w:cs="宋体"/>
          <w:sz w:val="24"/>
          <w:lang w:eastAsia="zh-CN"/>
        </w:rPr>
        <w:t>评审</w:t>
      </w:r>
      <w:r>
        <w:rPr>
          <w:rFonts w:hint="eastAsia" w:cs="宋体"/>
          <w:sz w:val="24"/>
        </w:rPr>
        <w:t>活动中，与</w:t>
      </w:r>
      <w:r>
        <w:rPr>
          <w:rFonts w:hint="eastAsia" w:cs="宋体"/>
          <w:sz w:val="24"/>
          <w:lang w:eastAsia="zh-CN"/>
        </w:rPr>
        <w:t>评审</w:t>
      </w:r>
      <w:r>
        <w:rPr>
          <w:rFonts w:hint="eastAsia" w:cs="宋体"/>
          <w:sz w:val="24"/>
        </w:rPr>
        <w:t>活动有关的工作人员不得擅离职守，影响</w:t>
      </w:r>
      <w:r>
        <w:rPr>
          <w:rFonts w:hint="eastAsia" w:cs="宋体"/>
          <w:sz w:val="24"/>
          <w:lang w:eastAsia="zh-CN"/>
        </w:rPr>
        <w:t>评审</w:t>
      </w:r>
      <w:r>
        <w:rPr>
          <w:rFonts w:hint="eastAsia" w:cs="宋体"/>
          <w:sz w:val="24"/>
        </w:rPr>
        <w:t>程序正常进行。</w:t>
      </w:r>
    </w:p>
    <w:p w14:paraId="4DDD0398">
      <w:pPr>
        <w:pStyle w:val="32"/>
      </w:pPr>
      <w:bookmarkStart w:id="114" w:name="_Toc507936058"/>
      <w:bookmarkStart w:id="115" w:name="_Toc446434338"/>
      <w:bookmarkStart w:id="116" w:name="_Toc312072277"/>
      <w:r>
        <w:t xml:space="preserve">9.5 </w:t>
      </w:r>
      <w:r>
        <w:rPr>
          <w:rFonts w:hint="eastAsia"/>
        </w:rPr>
        <w:t>投诉</w:t>
      </w:r>
      <w:bookmarkEnd w:id="114"/>
      <w:bookmarkEnd w:id="115"/>
      <w:bookmarkEnd w:id="116"/>
    </w:p>
    <w:p w14:paraId="6929A2C8">
      <w:pPr>
        <w:spacing w:line="400" w:lineRule="exact"/>
        <w:ind w:firstLine="480" w:firstLineChars="200"/>
        <w:rPr>
          <w:sz w:val="24"/>
        </w:rPr>
      </w:pPr>
      <w:r>
        <w:rPr>
          <w:rFonts w:hint="eastAsia" w:cs="宋体"/>
          <w:sz w:val="24"/>
          <w:lang w:eastAsia="zh-CN"/>
        </w:rPr>
        <w:t>供应商</w:t>
      </w:r>
      <w:r>
        <w:rPr>
          <w:rFonts w:hint="eastAsia" w:cs="宋体"/>
          <w:sz w:val="24"/>
        </w:rPr>
        <w:t>和其他利害关系人认为本次</w:t>
      </w:r>
      <w:r>
        <w:rPr>
          <w:rFonts w:hint="eastAsia" w:cs="宋体"/>
          <w:sz w:val="24"/>
          <w:lang w:val="en-US" w:eastAsia="zh-CN"/>
        </w:rPr>
        <w:t>谈判</w:t>
      </w:r>
      <w:r>
        <w:rPr>
          <w:rFonts w:hint="eastAsia" w:cs="宋体"/>
          <w:sz w:val="24"/>
        </w:rPr>
        <w:t>活动违反法律、法规和规章规定的，有权向市建设行政主管部门和相关监督部门投诉。</w:t>
      </w:r>
    </w:p>
    <w:p w14:paraId="76BF28CE">
      <w:pPr>
        <w:pStyle w:val="32"/>
        <w:jc w:val="center"/>
        <w:rPr>
          <w:rStyle w:val="19"/>
          <w:b w:val="0"/>
          <w:bCs w:val="0"/>
        </w:rPr>
      </w:pPr>
      <w:r>
        <w:rPr>
          <w:rStyle w:val="19"/>
          <w:b w:val="0"/>
          <w:bCs w:val="0"/>
        </w:rPr>
        <w:t xml:space="preserve">10. </w:t>
      </w:r>
      <w:r>
        <w:rPr>
          <w:rStyle w:val="19"/>
          <w:rFonts w:hint="eastAsia"/>
          <w:b w:val="0"/>
          <w:bCs w:val="0"/>
        </w:rPr>
        <w:t>需要补充的其他内容</w:t>
      </w:r>
      <w:bookmarkEnd w:id="100"/>
      <w:bookmarkEnd w:id="101"/>
      <w:bookmarkEnd w:id="102"/>
      <w:bookmarkEnd w:id="103"/>
      <w:bookmarkEnd w:id="104"/>
      <w:bookmarkEnd w:id="105"/>
      <w:bookmarkEnd w:id="106"/>
    </w:p>
    <w:p w14:paraId="523C2B62">
      <w:pPr>
        <w:pStyle w:val="32"/>
        <w:rPr>
          <w:rFonts w:hint="eastAsia" w:ascii="宋体" w:hAnsi="宋体" w:eastAsia="宋体" w:cs="仿宋"/>
          <w:b w:val="0"/>
          <w:bCs/>
          <w:color w:val="000000"/>
          <w:kern w:val="0"/>
          <w:sz w:val="24"/>
          <w:szCs w:val="24"/>
          <w:lang w:val="en-US" w:eastAsia="zh-CN" w:bidi="ar-SA"/>
        </w:rPr>
      </w:pPr>
      <w:bookmarkStart w:id="117" w:name="_Toc507936060"/>
      <w:bookmarkStart w:id="118" w:name="_Toc506105866"/>
      <w:r>
        <w:rPr>
          <w:rFonts w:hint="eastAsia" w:ascii="Arial" w:hAnsi="Arial" w:cs="Times New Roman"/>
          <w:b w:val="0"/>
          <w:bCs w:val="0"/>
        </w:rPr>
        <w:t>10. 需要补充的其他内容</w:t>
      </w:r>
    </w:p>
    <w:p w14:paraId="51D63D43">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9" w:name="_Toc22935"/>
      <w:bookmarkStart w:id="120" w:name="_Toc26208"/>
      <w:r>
        <w:rPr>
          <w:rFonts w:hint="eastAsia" w:ascii="宋体" w:hAnsi="宋体" w:eastAsia="宋体" w:cs="仿宋"/>
          <w:b w:val="0"/>
          <w:bCs/>
          <w:color w:val="000000"/>
          <w:kern w:val="0"/>
          <w:sz w:val="24"/>
          <w:szCs w:val="24"/>
          <w:lang w:val="en-US" w:eastAsia="zh-CN" w:bidi="ar-SA"/>
        </w:rPr>
        <w:t>附：否决响应条件</w:t>
      </w:r>
      <w:bookmarkEnd w:id="119"/>
      <w:bookmarkEnd w:id="120"/>
    </w:p>
    <w:p w14:paraId="00326CAE">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1" w:name="_Toc32256"/>
      <w:bookmarkStart w:id="122" w:name="_Toc26414"/>
      <w:r>
        <w:rPr>
          <w:rFonts w:hint="eastAsia" w:ascii="宋体" w:hAnsi="宋体" w:eastAsia="宋体" w:cs="仿宋"/>
          <w:b w:val="0"/>
          <w:bCs/>
          <w:color w:val="000000"/>
          <w:kern w:val="0"/>
          <w:sz w:val="24"/>
          <w:szCs w:val="24"/>
          <w:lang w:val="en-US" w:eastAsia="zh-CN" w:bidi="ar-SA"/>
        </w:rPr>
        <w:t>B0.总则</w:t>
      </w:r>
      <w:bookmarkEnd w:id="121"/>
      <w:bookmarkEnd w:id="122"/>
    </w:p>
    <w:p w14:paraId="6CCEC2FF">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3" w:name="_Toc6469"/>
      <w:bookmarkStart w:id="124" w:name="_Toc20459"/>
      <w:r>
        <w:rPr>
          <w:rFonts w:hint="eastAsia" w:ascii="宋体" w:hAnsi="宋体" w:eastAsia="宋体" w:cs="仿宋"/>
          <w:b w:val="0"/>
          <w:bCs/>
          <w:color w:val="000000"/>
          <w:kern w:val="0"/>
          <w:sz w:val="24"/>
          <w:szCs w:val="24"/>
          <w:lang w:val="en-US" w:eastAsia="zh-CN" w:bidi="ar-SA"/>
        </w:rPr>
        <w:t>本附件所集中列示的否决响应条件，是本章“评审办法”的组成部分，是对第二章“谈判须知”和本章正文部分所规定的否决响应条件的总结和补充。</w:t>
      </w:r>
      <w:bookmarkEnd w:id="123"/>
      <w:bookmarkEnd w:id="124"/>
    </w:p>
    <w:p w14:paraId="3CB07360">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5" w:name="_Toc249"/>
      <w:bookmarkStart w:id="126" w:name="_Toc11807"/>
      <w:r>
        <w:rPr>
          <w:rFonts w:hint="eastAsia" w:ascii="宋体" w:hAnsi="宋体" w:eastAsia="宋体" w:cs="仿宋"/>
          <w:b w:val="0"/>
          <w:bCs/>
          <w:color w:val="000000"/>
          <w:kern w:val="0"/>
          <w:sz w:val="24"/>
          <w:szCs w:val="24"/>
          <w:lang w:val="en-US" w:eastAsia="zh-CN" w:bidi="ar-SA"/>
        </w:rPr>
        <w:t>B1.否决响应条件</w:t>
      </w:r>
      <w:bookmarkEnd w:id="125"/>
      <w:bookmarkEnd w:id="126"/>
      <w:r>
        <w:rPr>
          <w:rFonts w:hint="eastAsia" w:ascii="宋体" w:hAnsi="宋体" w:eastAsia="宋体" w:cs="仿宋"/>
          <w:b w:val="0"/>
          <w:bCs/>
          <w:color w:val="000000"/>
          <w:kern w:val="0"/>
          <w:sz w:val="24"/>
          <w:szCs w:val="24"/>
          <w:lang w:val="en-US" w:eastAsia="zh-CN" w:bidi="ar-SA"/>
        </w:rPr>
        <w:t xml:space="preserve"> </w:t>
      </w:r>
    </w:p>
    <w:p w14:paraId="1ABE6C90">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27" w:name="_Toc26061"/>
      <w:bookmarkStart w:id="128" w:name="_Toc31525"/>
      <w:r>
        <w:rPr>
          <w:rFonts w:hint="eastAsia" w:ascii="宋体" w:hAnsi="宋体" w:eastAsia="宋体" w:cs="仿宋"/>
          <w:b w:val="0"/>
          <w:bCs/>
          <w:color w:val="000000"/>
          <w:kern w:val="0"/>
          <w:sz w:val="24"/>
          <w:szCs w:val="24"/>
          <w:lang w:val="en-US" w:eastAsia="zh-CN" w:bidi="ar-SA"/>
        </w:rPr>
        <w:t>供应商或其响应文件有下列情形之一的，否决其响应资格：</w:t>
      </w:r>
      <w:bookmarkEnd w:id="127"/>
      <w:bookmarkEnd w:id="128"/>
    </w:p>
    <w:p w14:paraId="175211C8">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9" w:name="_Toc18948"/>
      <w:bookmarkStart w:id="130" w:name="_Toc2691"/>
      <w:r>
        <w:rPr>
          <w:rFonts w:hint="eastAsia" w:ascii="宋体" w:hAnsi="宋体" w:eastAsia="宋体" w:cs="仿宋"/>
          <w:b w:val="0"/>
          <w:bCs/>
          <w:color w:val="000000"/>
          <w:kern w:val="0"/>
          <w:sz w:val="24"/>
          <w:szCs w:val="24"/>
          <w:lang w:val="en-US" w:eastAsia="zh-CN" w:bidi="ar-SA"/>
        </w:rPr>
        <w:t>B1.1有第二章“谈判须知”规定的任何一种情形的。</w:t>
      </w:r>
      <w:bookmarkEnd w:id="129"/>
      <w:bookmarkEnd w:id="130"/>
    </w:p>
    <w:p w14:paraId="6FD1E171">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1" w:name="_Toc28035"/>
      <w:bookmarkStart w:id="132" w:name="_Toc13623"/>
      <w:r>
        <w:rPr>
          <w:rFonts w:hint="eastAsia" w:ascii="宋体" w:hAnsi="宋体" w:eastAsia="宋体" w:cs="仿宋"/>
          <w:b w:val="0"/>
          <w:bCs/>
          <w:color w:val="000000"/>
          <w:kern w:val="0"/>
          <w:sz w:val="24"/>
          <w:szCs w:val="24"/>
          <w:lang w:val="en-US" w:eastAsia="zh-CN" w:bidi="ar-SA"/>
        </w:rPr>
        <w:t>B1.2 有串通投标或弄虚作假或其他违法行为的，详见下款：</w:t>
      </w:r>
      <w:bookmarkEnd w:id="131"/>
      <w:bookmarkEnd w:id="132"/>
    </w:p>
    <w:p w14:paraId="31D5342C">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3" w:name="_Toc31820"/>
      <w:bookmarkStart w:id="134" w:name="_Toc29673"/>
      <w:r>
        <w:rPr>
          <w:rFonts w:hint="eastAsia" w:ascii="宋体" w:hAnsi="宋体" w:eastAsia="宋体" w:cs="仿宋"/>
          <w:b w:val="0"/>
          <w:bCs/>
          <w:color w:val="000000"/>
          <w:kern w:val="0"/>
          <w:sz w:val="24"/>
          <w:szCs w:val="24"/>
          <w:lang w:val="en-US" w:eastAsia="zh-CN" w:bidi="ar-SA"/>
        </w:rPr>
        <w:t>B1.2.1供应商之间协商谈判报价等响应文件的实质性内容；</w:t>
      </w:r>
      <w:bookmarkEnd w:id="133"/>
      <w:bookmarkEnd w:id="134"/>
    </w:p>
    <w:p w14:paraId="623F20B8">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5" w:name="_Toc23669"/>
      <w:bookmarkStart w:id="136" w:name="_Toc27255"/>
      <w:r>
        <w:rPr>
          <w:rFonts w:hint="eastAsia" w:ascii="宋体" w:hAnsi="宋体" w:eastAsia="宋体" w:cs="仿宋"/>
          <w:b w:val="0"/>
          <w:bCs/>
          <w:color w:val="000000"/>
          <w:kern w:val="0"/>
          <w:sz w:val="24"/>
          <w:szCs w:val="24"/>
          <w:lang w:val="en-US" w:eastAsia="zh-CN" w:bidi="ar-SA"/>
        </w:rPr>
        <w:t>B1.2.2供应商之间约定成交人；</w:t>
      </w:r>
      <w:bookmarkEnd w:id="135"/>
      <w:bookmarkEnd w:id="136"/>
    </w:p>
    <w:p w14:paraId="478B78D8">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37" w:name="_Toc25019"/>
      <w:bookmarkStart w:id="138" w:name="_Toc28015"/>
      <w:r>
        <w:rPr>
          <w:rFonts w:hint="eastAsia" w:ascii="宋体" w:hAnsi="宋体" w:eastAsia="宋体" w:cs="仿宋"/>
          <w:b w:val="0"/>
          <w:bCs/>
          <w:color w:val="000000"/>
          <w:kern w:val="0"/>
          <w:sz w:val="24"/>
          <w:szCs w:val="24"/>
          <w:lang w:val="en-US" w:eastAsia="zh-CN" w:bidi="ar-SA"/>
        </w:rPr>
        <w:t>B1.2.3供应商之间约定部分供应商放弃响应或者成交；</w:t>
      </w:r>
      <w:bookmarkEnd w:id="137"/>
      <w:bookmarkEnd w:id="138"/>
    </w:p>
    <w:p w14:paraId="221078C4">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39" w:name="_Toc17042"/>
      <w:bookmarkStart w:id="140" w:name="_Toc28945"/>
      <w:r>
        <w:rPr>
          <w:rFonts w:hint="eastAsia" w:ascii="宋体" w:hAnsi="宋体" w:eastAsia="宋体" w:cs="仿宋"/>
          <w:b w:val="0"/>
          <w:bCs/>
          <w:color w:val="000000"/>
          <w:kern w:val="0"/>
          <w:sz w:val="24"/>
          <w:szCs w:val="24"/>
          <w:lang w:val="en-US" w:eastAsia="zh-CN" w:bidi="ar-SA"/>
        </w:rPr>
        <w:t>B1.2.4属于同一集团、协会、商会等组织成员的供应商按照该组织要求协同响应；</w:t>
      </w:r>
      <w:bookmarkEnd w:id="139"/>
      <w:bookmarkEnd w:id="140"/>
    </w:p>
    <w:p w14:paraId="09F2E64F">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41" w:name="_Toc8624"/>
      <w:bookmarkStart w:id="142" w:name="_Toc1494"/>
      <w:r>
        <w:rPr>
          <w:rFonts w:hint="eastAsia" w:ascii="宋体" w:hAnsi="宋体" w:eastAsia="宋体" w:cs="仿宋"/>
          <w:b w:val="0"/>
          <w:bCs/>
          <w:color w:val="000000"/>
          <w:kern w:val="0"/>
          <w:sz w:val="24"/>
          <w:szCs w:val="24"/>
          <w:lang w:val="en-US" w:eastAsia="zh-CN" w:bidi="ar-SA"/>
        </w:rPr>
        <w:t>B1.2.5供应商之间为谋取成交或者排斥特定供应商而采取的其他联合行动；</w:t>
      </w:r>
      <w:bookmarkEnd w:id="141"/>
      <w:bookmarkEnd w:id="142"/>
    </w:p>
    <w:p w14:paraId="3CBEE119">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3" w:name="_Toc7585"/>
      <w:bookmarkStart w:id="144" w:name="_Toc32688"/>
      <w:r>
        <w:rPr>
          <w:rFonts w:hint="eastAsia" w:ascii="宋体" w:hAnsi="宋体" w:eastAsia="宋体" w:cs="仿宋"/>
          <w:b w:val="0"/>
          <w:bCs/>
          <w:color w:val="000000"/>
          <w:kern w:val="0"/>
          <w:sz w:val="24"/>
          <w:szCs w:val="24"/>
          <w:lang w:val="en-US" w:eastAsia="zh-CN" w:bidi="ar-SA"/>
        </w:rPr>
        <w:t>B1.2.6不同供应商的响应文件由同一单位或者个人编制；</w:t>
      </w:r>
      <w:bookmarkEnd w:id="143"/>
      <w:bookmarkEnd w:id="144"/>
    </w:p>
    <w:p w14:paraId="7705B788">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5" w:name="_Toc28358"/>
      <w:bookmarkStart w:id="146" w:name="_Toc14505"/>
      <w:r>
        <w:rPr>
          <w:rFonts w:hint="eastAsia" w:ascii="宋体" w:hAnsi="宋体" w:eastAsia="宋体" w:cs="仿宋"/>
          <w:b w:val="0"/>
          <w:bCs/>
          <w:color w:val="000000"/>
          <w:kern w:val="0"/>
          <w:sz w:val="24"/>
          <w:szCs w:val="24"/>
          <w:lang w:val="en-US" w:eastAsia="zh-CN" w:bidi="ar-SA"/>
        </w:rPr>
        <w:t>B1.2.7不同供应商委托同一单位或者个人办理响应事宜；</w:t>
      </w:r>
      <w:bookmarkEnd w:id="145"/>
      <w:bookmarkEnd w:id="146"/>
    </w:p>
    <w:p w14:paraId="1E954462">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7" w:name="_Toc27336"/>
      <w:bookmarkStart w:id="148" w:name="_Toc15412"/>
      <w:r>
        <w:rPr>
          <w:rFonts w:hint="eastAsia" w:ascii="宋体" w:hAnsi="宋体" w:eastAsia="宋体" w:cs="仿宋"/>
          <w:b w:val="0"/>
          <w:bCs/>
          <w:color w:val="000000"/>
          <w:kern w:val="0"/>
          <w:sz w:val="24"/>
          <w:szCs w:val="24"/>
          <w:lang w:val="en-US" w:eastAsia="zh-CN" w:bidi="ar-SA"/>
        </w:rPr>
        <w:t>B1.2.8不同供应商的响应文件异常一致或者响应报价呈规律性差异；</w:t>
      </w:r>
      <w:bookmarkEnd w:id="147"/>
      <w:bookmarkEnd w:id="148"/>
    </w:p>
    <w:p w14:paraId="226EC340">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9" w:name="_Toc2932"/>
      <w:bookmarkStart w:id="150" w:name="_Toc8708"/>
      <w:r>
        <w:rPr>
          <w:rFonts w:hint="eastAsia" w:ascii="宋体" w:hAnsi="宋体" w:eastAsia="宋体" w:cs="仿宋"/>
          <w:b w:val="0"/>
          <w:bCs/>
          <w:color w:val="000000"/>
          <w:kern w:val="0"/>
          <w:sz w:val="24"/>
          <w:szCs w:val="24"/>
          <w:lang w:val="en-US" w:eastAsia="zh-CN" w:bidi="ar-SA"/>
        </w:rPr>
        <w:t>B1.2.9不同供应商的响应文件错漏之处一致的；</w:t>
      </w:r>
      <w:bookmarkEnd w:id="149"/>
      <w:bookmarkEnd w:id="150"/>
    </w:p>
    <w:p w14:paraId="57253F86">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1" w:name="_Toc587"/>
      <w:bookmarkStart w:id="152" w:name="_Toc27572"/>
      <w:r>
        <w:rPr>
          <w:rFonts w:hint="eastAsia" w:ascii="宋体" w:hAnsi="宋体" w:eastAsia="宋体" w:cs="仿宋"/>
          <w:b w:val="0"/>
          <w:bCs/>
          <w:color w:val="000000"/>
          <w:kern w:val="0"/>
          <w:sz w:val="24"/>
          <w:szCs w:val="24"/>
          <w:lang w:val="en-US" w:eastAsia="zh-CN" w:bidi="ar-SA"/>
        </w:rPr>
        <w:t>B1.2.10不同供应商的响应文件相互混装；</w:t>
      </w:r>
      <w:bookmarkEnd w:id="151"/>
      <w:bookmarkEnd w:id="152"/>
    </w:p>
    <w:p w14:paraId="7C5FE221">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3" w:name="_Toc22881"/>
      <w:bookmarkStart w:id="154" w:name="_Toc11508"/>
      <w:r>
        <w:rPr>
          <w:rFonts w:hint="eastAsia" w:ascii="宋体" w:hAnsi="宋体" w:eastAsia="宋体" w:cs="仿宋"/>
          <w:b w:val="0"/>
          <w:bCs/>
          <w:color w:val="000000"/>
          <w:kern w:val="0"/>
          <w:sz w:val="24"/>
          <w:szCs w:val="24"/>
          <w:lang w:val="en-US" w:eastAsia="zh-CN" w:bidi="ar-SA"/>
        </w:rPr>
        <w:t>B1.2.11不同供应商的响应文件由同一台电脑编制或者同一台附属设备打印；</w:t>
      </w:r>
      <w:bookmarkEnd w:id="153"/>
      <w:bookmarkEnd w:id="154"/>
    </w:p>
    <w:p w14:paraId="1A637C61">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5" w:name="_Toc3770"/>
      <w:bookmarkStart w:id="156" w:name="_Toc7991"/>
      <w:r>
        <w:rPr>
          <w:rFonts w:hint="eastAsia" w:ascii="宋体" w:hAnsi="宋体" w:eastAsia="宋体" w:cs="仿宋"/>
          <w:b w:val="0"/>
          <w:bCs/>
          <w:color w:val="000000"/>
          <w:kern w:val="0"/>
          <w:sz w:val="24"/>
          <w:szCs w:val="24"/>
          <w:lang w:val="en-US" w:eastAsia="zh-CN" w:bidi="ar-SA"/>
        </w:rPr>
        <w:t>B1.2.12不同供应商的谈判保证金从同一单位或者个人的账户转出；</w:t>
      </w:r>
      <w:bookmarkEnd w:id="155"/>
      <w:bookmarkEnd w:id="156"/>
    </w:p>
    <w:p w14:paraId="2F761226">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7" w:name="_Toc13210"/>
      <w:bookmarkStart w:id="158" w:name="_Toc13968"/>
      <w:r>
        <w:rPr>
          <w:rFonts w:hint="eastAsia" w:ascii="宋体" w:hAnsi="宋体" w:eastAsia="宋体" w:cs="仿宋"/>
          <w:b w:val="0"/>
          <w:bCs/>
          <w:color w:val="000000"/>
          <w:kern w:val="0"/>
          <w:sz w:val="24"/>
          <w:szCs w:val="24"/>
          <w:lang w:val="en-US" w:eastAsia="zh-CN" w:bidi="ar-SA"/>
        </w:rPr>
        <w:t>B1.2.13不同供应商使用同一个人或者企业资金交纳响应保证金或者响应保函的反担保的；</w:t>
      </w:r>
      <w:bookmarkEnd w:id="157"/>
      <w:bookmarkEnd w:id="158"/>
    </w:p>
    <w:p w14:paraId="7FC4A7D0">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9" w:name="_Toc19806"/>
      <w:bookmarkStart w:id="160" w:name="_Toc16474"/>
      <w:r>
        <w:rPr>
          <w:rFonts w:hint="eastAsia" w:ascii="宋体" w:hAnsi="宋体" w:eastAsia="宋体" w:cs="仿宋"/>
          <w:b w:val="0"/>
          <w:bCs/>
          <w:color w:val="000000"/>
          <w:kern w:val="0"/>
          <w:sz w:val="24"/>
          <w:szCs w:val="24"/>
          <w:lang w:val="en-US" w:eastAsia="zh-CN" w:bidi="ar-SA"/>
        </w:rPr>
        <w:t>B1.2.14使用伪造、变造的许可证件；</w:t>
      </w:r>
      <w:bookmarkEnd w:id="159"/>
      <w:bookmarkEnd w:id="160"/>
    </w:p>
    <w:p w14:paraId="62324C0B">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1" w:name="_Toc21578"/>
      <w:bookmarkStart w:id="162" w:name="_Toc29175"/>
      <w:r>
        <w:rPr>
          <w:rFonts w:hint="eastAsia" w:ascii="宋体" w:hAnsi="宋体" w:eastAsia="宋体" w:cs="仿宋"/>
          <w:b w:val="0"/>
          <w:bCs/>
          <w:color w:val="000000"/>
          <w:kern w:val="0"/>
          <w:sz w:val="24"/>
          <w:szCs w:val="24"/>
          <w:lang w:val="en-US" w:eastAsia="zh-CN" w:bidi="ar-SA"/>
        </w:rPr>
        <w:t>B1.2.15提供虚假的财务状况或者业绩；</w:t>
      </w:r>
      <w:bookmarkEnd w:id="161"/>
      <w:bookmarkEnd w:id="162"/>
    </w:p>
    <w:p w14:paraId="7BD44DD2">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3" w:name="_Toc2666"/>
      <w:bookmarkStart w:id="164" w:name="_Toc9474"/>
      <w:r>
        <w:rPr>
          <w:rFonts w:hint="eastAsia" w:ascii="宋体" w:hAnsi="宋体" w:eastAsia="宋体" w:cs="仿宋"/>
          <w:b w:val="0"/>
          <w:bCs/>
          <w:color w:val="000000"/>
          <w:kern w:val="0"/>
          <w:sz w:val="24"/>
          <w:szCs w:val="24"/>
          <w:lang w:val="en-US" w:eastAsia="zh-CN" w:bidi="ar-SA"/>
        </w:rPr>
        <w:t>B1.2.16提供虚假的信用状况；</w:t>
      </w:r>
      <w:bookmarkEnd w:id="163"/>
      <w:bookmarkEnd w:id="164"/>
    </w:p>
    <w:p w14:paraId="3445F27B">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5" w:name="_Toc27633"/>
      <w:bookmarkStart w:id="166" w:name="_Toc23179"/>
      <w:r>
        <w:rPr>
          <w:rFonts w:hint="eastAsia" w:ascii="宋体" w:hAnsi="宋体" w:eastAsia="宋体" w:cs="仿宋"/>
          <w:b w:val="0"/>
          <w:bCs/>
          <w:color w:val="000000"/>
          <w:kern w:val="0"/>
          <w:sz w:val="24"/>
          <w:szCs w:val="24"/>
          <w:lang w:val="en-US" w:eastAsia="zh-CN" w:bidi="ar-SA"/>
        </w:rPr>
        <w:t>B1.2.17其他弄虚作假的行为；</w:t>
      </w:r>
      <w:bookmarkEnd w:id="165"/>
      <w:bookmarkEnd w:id="166"/>
    </w:p>
    <w:p w14:paraId="14BDBDB2">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7" w:name="_Toc4045"/>
      <w:bookmarkStart w:id="168" w:name="_Toc22832"/>
      <w:r>
        <w:rPr>
          <w:rFonts w:hint="eastAsia" w:ascii="宋体" w:hAnsi="宋体" w:eastAsia="宋体" w:cs="仿宋"/>
          <w:b w:val="0"/>
          <w:bCs/>
          <w:color w:val="000000"/>
          <w:kern w:val="0"/>
          <w:sz w:val="24"/>
          <w:szCs w:val="24"/>
          <w:lang w:val="en-US" w:eastAsia="zh-CN" w:bidi="ar-SA"/>
        </w:rPr>
        <w:t>B1.2.18采购人在谈判前开启响应文件并将有关信息泄露给其他供应商；</w:t>
      </w:r>
      <w:bookmarkEnd w:id="167"/>
      <w:bookmarkEnd w:id="168"/>
    </w:p>
    <w:p w14:paraId="60B19CA8">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9" w:name="_Toc7642"/>
      <w:bookmarkStart w:id="170" w:name="_Toc3700"/>
      <w:r>
        <w:rPr>
          <w:rFonts w:hint="eastAsia" w:ascii="宋体" w:hAnsi="宋体" w:eastAsia="宋体" w:cs="仿宋"/>
          <w:b w:val="0"/>
          <w:bCs/>
          <w:color w:val="000000"/>
          <w:kern w:val="0"/>
          <w:sz w:val="24"/>
          <w:szCs w:val="24"/>
          <w:lang w:val="en-US" w:eastAsia="zh-CN" w:bidi="ar-SA"/>
        </w:rPr>
        <w:t>B1.2.19采购人直接或者间接向供应商泄露底价、评审委员会成员等信息；</w:t>
      </w:r>
      <w:bookmarkEnd w:id="169"/>
      <w:bookmarkEnd w:id="170"/>
    </w:p>
    <w:p w14:paraId="0C800CAE">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1" w:name="_Toc5952"/>
      <w:bookmarkStart w:id="172" w:name="_Toc9473"/>
      <w:r>
        <w:rPr>
          <w:rFonts w:hint="eastAsia" w:ascii="宋体" w:hAnsi="宋体" w:eastAsia="宋体" w:cs="仿宋"/>
          <w:b w:val="0"/>
          <w:bCs/>
          <w:color w:val="000000"/>
          <w:kern w:val="0"/>
          <w:sz w:val="24"/>
          <w:szCs w:val="24"/>
          <w:lang w:val="en-US" w:eastAsia="zh-CN" w:bidi="ar-SA"/>
        </w:rPr>
        <w:t>B1.2.20采购人明示或者暗示供应商压低或者抬高报价；</w:t>
      </w:r>
      <w:bookmarkEnd w:id="171"/>
      <w:bookmarkEnd w:id="172"/>
    </w:p>
    <w:p w14:paraId="074BA777">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3" w:name="_Toc2893"/>
      <w:bookmarkStart w:id="174" w:name="_Toc25670"/>
      <w:r>
        <w:rPr>
          <w:rFonts w:hint="eastAsia" w:ascii="宋体" w:hAnsi="宋体" w:eastAsia="宋体" w:cs="仿宋"/>
          <w:b w:val="0"/>
          <w:bCs/>
          <w:color w:val="000000"/>
          <w:kern w:val="0"/>
          <w:sz w:val="24"/>
          <w:szCs w:val="24"/>
          <w:lang w:val="en-US" w:eastAsia="zh-CN" w:bidi="ar-SA"/>
        </w:rPr>
        <w:t>B1.2.21采购人授意供应商撤换、修改响应文件；</w:t>
      </w:r>
      <w:bookmarkEnd w:id="173"/>
      <w:bookmarkEnd w:id="174"/>
    </w:p>
    <w:p w14:paraId="412E5352">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5" w:name="_Toc13206"/>
      <w:bookmarkStart w:id="176" w:name="_Toc9700"/>
      <w:r>
        <w:rPr>
          <w:rFonts w:hint="eastAsia" w:ascii="宋体" w:hAnsi="宋体" w:eastAsia="宋体" w:cs="仿宋"/>
          <w:b w:val="0"/>
          <w:bCs/>
          <w:color w:val="000000"/>
          <w:kern w:val="0"/>
          <w:sz w:val="24"/>
          <w:szCs w:val="24"/>
          <w:lang w:val="en-US" w:eastAsia="zh-CN" w:bidi="ar-SA"/>
        </w:rPr>
        <w:t>B1.2.22采购人明示或者暗示供应商为特定供应商成交提供方便；</w:t>
      </w:r>
      <w:bookmarkEnd w:id="175"/>
      <w:bookmarkEnd w:id="176"/>
    </w:p>
    <w:p w14:paraId="43C1A1AB">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7" w:name="_Toc2603"/>
      <w:bookmarkStart w:id="178" w:name="_Toc32227"/>
      <w:r>
        <w:rPr>
          <w:rFonts w:hint="eastAsia" w:ascii="宋体" w:hAnsi="宋体" w:eastAsia="宋体" w:cs="仿宋"/>
          <w:b w:val="0"/>
          <w:bCs/>
          <w:color w:val="000000"/>
          <w:kern w:val="0"/>
          <w:sz w:val="24"/>
          <w:szCs w:val="24"/>
          <w:lang w:val="en-US" w:eastAsia="zh-CN" w:bidi="ar-SA"/>
        </w:rPr>
        <w:t>B1.2.23采购人与供应商为谋求特定供应商成交而采取的其他串通行为；</w:t>
      </w:r>
      <w:bookmarkEnd w:id="177"/>
      <w:bookmarkEnd w:id="178"/>
    </w:p>
    <w:p w14:paraId="5639061F">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9" w:name="_Toc6004"/>
      <w:bookmarkStart w:id="180" w:name="_Toc14431"/>
      <w:r>
        <w:rPr>
          <w:rFonts w:hint="eastAsia" w:ascii="宋体" w:hAnsi="宋体" w:eastAsia="宋体" w:cs="仿宋"/>
          <w:b w:val="0"/>
          <w:bCs/>
          <w:color w:val="000000"/>
          <w:kern w:val="0"/>
          <w:sz w:val="24"/>
          <w:szCs w:val="24"/>
          <w:lang w:val="en-US" w:eastAsia="zh-CN" w:bidi="ar-SA"/>
        </w:rPr>
        <w:t>B1.2.24评审委员会认定的其他串通情形；</w:t>
      </w:r>
      <w:bookmarkEnd w:id="179"/>
      <w:bookmarkEnd w:id="180"/>
    </w:p>
    <w:p w14:paraId="4DF19A6A">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81" w:name="_Toc23431"/>
      <w:bookmarkStart w:id="182" w:name="_Toc22876"/>
      <w:r>
        <w:rPr>
          <w:rFonts w:hint="eastAsia" w:ascii="宋体" w:hAnsi="宋体" w:eastAsia="宋体" w:cs="仿宋"/>
          <w:b w:val="0"/>
          <w:bCs/>
          <w:color w:val="000000"/>
          <w:kern w:val="0"/>
          <w:sz w:val="24"/>
          <w:szCs w:val="24"/>
          <w:lang w:val="en-US" w:eastAsia="zh-CN" w:bidi="ar-SA"/>
        </w:rPr>
        <w:t>B1.3不按评审委员会要求澄清、说明或补正的。</w:t>
      </w:r>
      <w:bookmarkEnd w:id="181"/>
      <w:bookmarkEnd w:id="182"/>
    </w:p>
    <w:p w14:paraId="3FB83E79">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83" w:name="_Toc11885"/>
      <w:bookmarkStart w:id="184" w:name="_Toc32136"/>
      <w:r>
        <w:rPr>
          <w:rFonts w:hint="eastAsia" w:ascii="宋体" w:hAnsi="宋体" w:eastAsia="宋体" w:cs="仿宋"/>
          <w:b w:val="0"/>
          <w:bCs/>
          <w:color w:val="000000"/>
          <w:kern w:val="0"/>
          <w:sz w:val="24"/>
          <w:szCs w:val="24"/>
          <w:lang w:val="en-US" w:eastAsia="zh-CN" w:bidi="ar-SA"/>
        </w:rPr>
        <w:t>B1.4在形式评审、资格评审（适用于未进行资格预审的）、响应性评审中，评审委员会认定供应商的响应文件不符合评审办法前附表中规定的任何一项评审标准的。</w:t>
      </w:r>
      <w:bookmarkEnd w:id="183"/>
      <w:bookmarkEnd w:id="184"/>
    </w:p>
    <w:p w14:paraId="6575A929">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85" w:name="_Toc9229"/>
      <w:bookmarkStart w:id="186" w:name="_Toc7628"/>
      <w:r>
        <w:rPr>
          <w:rFonts w:hint="eastAsia" w:ascii="宋体" w:hAnsi="宋体" w:eastAsia="宋体" w:cs="仿宋"/>
          <w:b w:val="0"/>
          <w:bCs/>
          <w:color w:val="000000"/>
          <w:kern w:val="0"/>
          <w:sz w:val="24"/>
          <w:szCs w:val="24"/>
          <w:lang w:val="en-US" w:eastAsia="zh-CN" w:bidi="ar-SA"/>
        </w:rPr>
        <w:t>B1.5当供应商资格预审申请文件的内容发生重大变化时，其在响应文件中更新的资料，未能通过资格评审的（适用于已进行资格预审的）。</w:t>
      </w:r>
      <w:bookmarkEnd w:id="185"/>
      <w:bookmarkEnd w:id="186"/>
    </w:p>
    <w:p w14:paraId="65000335">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87" w:name="_Toc28698"/>
      <w:bookmarkStart w:id="188" w:name="_Toc21797"/>
      <w:r>
        <w:rPr>
          <w:rFonts w:hint="eastAsia" w:ascii="宋体" w:hAnsi="宋体" w:eastAsia="宋体" w:cs="仿宋"/>
          <w:b w:val="0"/>
          <w:bCs/>
          <w:color w:val="000000"/>
          <w:kern w:val="0"/>
          <w:sz w:val="24"/>
          <w:szCs w:val="24"/>
          <w:lang w:val="en-US" w:eastAsia="zh-CN" w:bidi="ar-SA"/>
        </w:rPr>
        <w:t>B1.6在技术和资信评审中，评审委员会认定供应商的响应未能通过此项评审的。</w:t>
      </w:r>
      <w:bookmarkEnd w:id="187"/>
      <w:bookmarkEnd w:id="188"/>
    </w:p>
    <w:p w14:paraId="435BD0BD">
      <w:pPr>
        <w:pStyle w:val="2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89" w:name="_Toc13603"/>
      <w:bookmarkStart w:id="190" w:name="_Toc5012"/>
      <w:r>
        <w:rPr>
          <w:rFonts w:hint="eastAsia" w:ascii="宋体" w:hAnsi="宋体" w:eastAsia="宋体" w:cs="仿宋"/>
          <w:b w:val="0"/>
          <w:bCs/>
          <w:color w:val="000000"/>
          <w:kern w:val="0"/>
          <w:sz w:val="24"/>
          <w:szCs w:val="24"/>
          <w:lang w:val="en-US" w:eastAsia="zh-CN" w:bidi="ar-SA"/>
        </w:rPr>
        <w:t>B1.7评审委员会认定供应商以低于成本报价竞争的。</w:t>
      </w:r>
      <w:bookmarkEnd w:id="189"/>
      <w:bookmarkEnd w:id="190"/>
    </w:p>
    <w:p w14:paraId="450DADD3">
      <w:pPr>
        <w:pStyle w:val="28"/>
        <w:rPr>
          <w:color w:val="auto"/>
        </w:rPr>
      </w:pPr>
      <w:bookmarkStart w:id="191" w:name="_Toc32709"/>
      <w:r>
        <w:rPr>
          <w:rFonts w:hint="eastAsia"/>
          <w:color w:val="auto"/>
        </w:rPr>
        <w:t xml:space="preserve">第三章  </w:t>
      </w:r>
      <w:r>
        <w:rPr>
          <w:rFonts w:hint="eastAsia"/>
          <w:color w:val="auto"/>
          <w:lang w:eastAsia="zh-CN"/>
        </w:rPr>
        <w:t>评审</w:t>
      </w:r>
      <w:r>
        <w:rPr>
          <w:rFonts w:hint="eastAsia"/>
          <w:color w:val="auto"/>
        </w:rPr>
        <w:t>办法</w:t>
      </w:r>
      <w:bookmarkEnd w:id="117"/>
      <w:bookmarkEnd w:id="118"/>
      <w:bookmarkEnd w:id="191"/>
    </w:p>
    <w:p w14:paraId="2EF5777D">
      <w:pPr>
        <w:tabs>
          <w:tab w:val="left" w:pos="6237"/>
        </w:tabs>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为规范</w:t>
      </w:r>
      <w:r>
        <w:rPr>
          <w:rFonts w:hint="eastAsia" w:cs="仿宋"/>
          <w:bCs/>
          <w:color w:val="auto"/>
          <w:kern w:val="0"/>
          <w:sz w:val="24"/>
          <w:lang w:val="en-US" w:eastAsia="zh-CN"/>
        </w:rPr>
        <w:t>谈判</w:t>
      </w:r>
      <w:r>
        <w:rPr>
          <w:rFonts w:hint="eastAsia" w:ascii="宋体" w:hAnsi="宋体" w:cs="仿宋"/>
          <w:bCs/>
          <w:color w:val="auto"/>
          <w:kern w:val="0"/>
          <w:sz w:val="24"/>
        </w:rPr>
        <w:t>工作，制定本办法。</w:t>
      </w:r>
    </w:p>
    <w:p w14:paraId="0001AA02">
      <w:pPr>
        <w:spacing w:line="360" w:lineRule="auto"/>
        <w:rPr>
          <w:rFonts w:ascii="宋体" w:hAnsi="宋体" w:cs="仿宋"/>
          <w:color w:val="auto"/>
          <w:kern w:val="0"/>
          <w:sz w:val="24"/>
        </w:rPr>
      </w:pPr>
      <w:r>
        <w:rPr>
          <w:rFonts w:hint="eastAsia" w:ascii="宋体" w:hAnsi="宋体" w:cs="仿宋"/>
          <w:color w:val="auto"/>
          <w:kern w:val="0"/>
          <w:sz w:val="24"/>
        </w:rPr>
        <w:t>一、评审方法</w:t>
      </w:r>
    </w:p>
    <w:p w14:paraId="6BDC20CF">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按</w:t>
      </w:r>
      <w:r>
        <w:rPr>
          <w:rFonts w:hint="eastAsia" w:cs="仿宋"/>
          <w:bCs/>
          <w:color w:val="auto"/>
          <w:kern w:val="0"/>
          <w:sz w:val="24"/>
          <w:lang w:val="en-US" w:eastAsia="zh-CN"/>
        </w:rPr>
        <w:t>综合评估法</w:t>
      </w:r>
      <w:r>
        <w:rPr>
          <w:rFonts w:hint="eastAsia" w:ascii="宋体" w:hAnsi="宋体" w:cs="仿宋"/>
          <w:bCs/>
          <w:color w:val="auto"/>
          <w:kern w:val="0"/>
          <w:sz w:val="24"/>
        </w:rPr>
        <w:t>进行</w:t>
      </w:r>
      <w:r>
        <w:rPr>
          <w:rFonts w:hint="eastAsia" w:cs="仿宋"/>
          <w:bCs/>
          <w:color w:val="auto"/>
          <w:kern w:val="0"/>
          <w:sz w:val="24"/>
          <w:lang w:eastAsia="zh-CN"/>
        </w:rPr>
        <w:t>评审</w:t>
      </w:r>
      <w:r>
        <w:rPr>
          <w:rFonts w:hint="eastAsia" w:ascii="宋体" w:hAnsi="宋体" w:cs="仿宋"/>
          <w:bCs/>
          <w:color w:val="auto"/>
          <w:kern w:val="0"/>
          <w:sz w:val="24"/>
        </w:rPr>
        <w:t>。</w:t>
      </w:r>
    </w:p>
    <w:p w14:paraId="42A2BF87">
      <w:pPr>
        <w:spacing w:line="360" w:lineRule="auto"/>
        <w:rPr>
          <w:rFonts w:ascii="宋体" w:hAnsi="宋体" w:cs="仿宋"/>
          <w:color w:val="auto"/>
          <w:kern w:val="0"/>
          <w:sz w:val="24"/>
        </w:rPr>
      </w:pPr>
      <w:r>
        <w:rPr>
          <w:rFonts w:hint="eastAsia" w:ascii="宋体" w:hAnsi="宋体" w:cs="仿宋"/>
          <w:bCs/>
          <w:color w:val="auto"/>
          <w:kern w:val="0"/>
          <w:sz w:val="24"/>
        </w:rPr>
        <w:t>二、</w:t>
      </w:r>
      <w:r>
        <w:rPr>
          <w:rFonts w:hint="eastAsia" w:cs="仿宋"/>
          <w:bCs/>
          <w:color w:val="auto"/>
          <w:kern w:val="0"/>
          <w:sz w:val="24"/>
          <w:lang w:eastAsia="zh-CN"/>
        </w:rPr>
        <w:t>评审</w:t>
      </w:r>
      <w:r>
        <w:rPr>
          <w:rFonts w:hint="eastAsia" w:ascii="宋体" w:hAnsi="宋体" w:cs="仿宋"/>
          <w:bCs/>
          <w:color w:val="auto"/>
          <w:kern w:val="0"/>
          <w:sz w:val="24"/>
        </w:rPr>
        <w:t>原则</w:t>
      </w:r>
    </w:p>
    <w:p w14:paraId="59822E7E">
      <w:pPr>
        <w:spacing w:line="360" w:lineRule="auto"/>
        <w:ind w:firstLine="480" w:firstLineChars="200"/>
        <w:rPr>
          <w:rFonts w:ascii="宋体" w:hAnsi="宋体" w:cs="仿宋"/>
          <w:color w:val="auto"/>
          <w:kern w:val="0"/>
          <w:sz w:val="24"/>
        </w:rPr>
      </w:pPr>
      <w:r>
        <w:rPr>
          <w:rFonts w:hint="eastAsia" w:cs="仿宋"/>
          <w:bCs/>
          <w:color w:val="auto"/>
          <w:kern w:val="0"/>
          <w:sz w:val="24"/>
          <w:lang w:eastAsia="zh-CN"/>
        </w:rPr>
        <w:t>评审</w:t>
      </w:r>
      <w:r>
        <w:rPr>
          <w:rFonts w:hint="eastAsia" w:ascii="宋体" w:hAnsi="宋体" w:cs="仿宋"/>
          <w:bCs/>
          <w:color w:val="auto"/>
          <w:kern w:val="0"/>
          <w:sz w:val="24"/>
        </w:rPr>
        <w:t>遵循公平、公正、科学、择优的原则。</w:t>
      </w:r>
    </w:p>
    <w:p w14:paraId="21AB6A9F">
      <w:pPr>
        <w:spacing w:line="360" w:lineRule="auto"/>
        <w:rPr>
          <w:rFonts w:ascii="宋体" w:hAnsi="宋体" w:cs="仿宋"/>
          <w:color w:val="auto"/>
          <w:kern w:val="0"/>
          <w:sz w:val="24"/>
        </w:rPr>
      </w:pPr>
      <w:r>
        <w:rPr>
          <w:rFonts w:hint="eastAsia" w:ascii="宋体" w:hAnsi="宋体" w:cs="仿宋"/>
          <w:bCs/>
          <w:color w:val="auto"/>
          <w:kern w:val="0"/>
          <w:sz w:val="24"/>
        </w:rPr>
        <w:t>三、</w:t>
      </w:r>
      <w:r>
        <w:rPr>
          <w:rFonts w:hint="eastAsia" w:cs="仿宋"/>
          <w:bCs/>
          <w:color w:val="auto"/>
          <w:kern w:val="0"/>
          <w:sz w:val="24"/>
          <w:lang w:eastAsia="zh-CN"/>
        </w:rPr>
        <w:t>评审</w:t>
      </w:r>
      <w:r>
        <w:rPr>
          <w:rFonts w:hint="eastAsia" w:ascii="宋体" w:hAnsi="宋体" w:cs="仿宋"/>
          <w:bCs/>
          <w:color w:val="auto"/>
          <w:kern w:val="0"/>
          <w:sz w:val="24"/>
        </w:rPr>
        <w:t>组织及服务</w:t>
      </w:r>
    </w:p>
    <w:p w14:paraId="29266822">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1、为做好</w:t>
      </w:r>
      <w:r>
        <w:rPr>
          <w:rFonts w:hint="eastAsia" w:cs="仿宋"/>
          <w:bCs/>
          <w:color w:val="auto"/>
          <w:kern w:val="0"/>
          <w:sz w:val="24"/>
          <w:lang w:eastAsia="zh-CN"/>
        </w:rPr>
        <w:t>评审</w:t>
      </w:r>
      <w:r>
        <w:rPr>
          <w:rFonts w:hint="eastAsia" w:ascii="宋体" w:hAnsi="宋体" w:cs="仿宋"/>
          <w:bCs/>
          <w:color w:val="auto"/>
          <w:kern w:val="0"/>
          <w:sz w:val="24"/>
        </w:rPr>
        <w:t>工作，成立</w:t>
      </w:r>
      <w:r>
        <w:rPr>
          <w:rFonts w:hint="eastAsia" w:cs="仿宋"/>
          <w:bCs/>
          <w:color w:val="auto"/>
          <w:kern w:val="0"/>
          <w:sz w:val="24"/>
          <w:lang w:eastAsia="zh-CN"/>
        </w:rPr>
        <w:t>评审</w:t>
      </w:r>
      <w:r>
        <w:rPr>
          <w:rFonts w:hint="eastAsia" w:ascii="宋体" w:hAnsi="宋体" w:cs="仿宋"/>
          <w:bCs/>
          <w:color w:val="auto"/>
          <w:kern w:val="0"/>
          <w:sz w:val="24"/>
        </w:rPr>
        <w:t>委员会和工作小组。</w:t>
      </w:r>
    </w:p>
    <w:p w14:paraId="1647CED1">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w:t>
      </w:r>
    </w:p>
    <w:p w14:paraId="4B7A334B">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2.1</w:t>
      </w:r>
      <w:r>
        <w:rPr>
          <w:rFonts w:hint="eastAsia" w:cs="仿宋"/>
          <w:bCs/>
          <w:color w:val="auto"/>
          <w:kern w:val="0"/>
          <w:sz w:val="24"/>
          <w:lang w:eastAsia="zh-CN"/>
        </w:rPr>
        <w:t>评审</w:t>
      </w:r>
      <w:r>
        <w:rPr>
          <w:rFonts w:hint="eastAsia" w:ascii="宋体" w:hAnsi="宋体" w:cs="仿宋"/>
          <w:bCs/>
          <w:color w:val="auto"/>
          <w:kern w:val="0"/>
          <w:sz w:val="24"/>
        </w:rPr>
        <w:t>委员会由</w:t>
      </w:r>
      <w:r>
        <w:rPr>
          <w:rFonts w:hint="eastAsia" w:cs="仿宋"/>
          <w:bCs/>
          <w:color w:val="auto"/>
          <w:kern w:val="0"/>
          <w:sz w:val="24"/>
          <w:lang w:val="en-US" w:eastAsia="zh-CN"/>
        </w:rPr>
        <w:t>采购</w:t>
      </w:r>
      <w:r>
        <w:rPr>
          <w:rFonts w:hint="eastAsia" w:ascii="宋体" w:hAnsi="宋体" w:cs="仿宋"/>
          <w:bCs/>
          <w:color w:val="auto"/>
          <w:kern w:val="0"/>
          <w:sz w:val="24"/>
        </w:rPr>
        <w:t>人依法组建，</w:t>
      </w:r>
      <w:r>
        <w:rPr>
          <w:rFonts w:hint="eastAsia" w:cs="仿宋"/>
          <w:bCs/>
          <w:color w:val="auto"/>
          <w:kern w:val="0"/>
          <w:sz w:val="24"/>
          <w:lang w:eastAsia="zh-CN"/>
        </w:rPr>
        <w:t>评审</w:t>
      </w:r>
      <w:r>
        <w:rPr>
          <w:rFonts w:hint="eastAsia" w:ascii="宋体" w:hAnsi="宋体" w:cs="仿宋"/>
          <w:bCs/>
          <w:color w:val="auto"/>
          <w:kern w:val="0"/>
          <w:sz w:val="24"/>
        </w:rPr>
        <w:t>委员会成员由</w:t>
      </w:r>
      <w:r>
        <w:rPr>
          <w:rFonts w:hint="eastAsia" w:cs="仿宋"/>
          <w:bCs/>
          <w:color w:val="auto"/>
          <w:kern w:val="0"/>
          <w:sz w:val="24"/>
          <w:lang w:eastAsia="zh-CN"/>
        </w:rPr>
        <w:t>采购人</w:t>
      </w:r>
      <w:r>
        <w:rPr>
          <w:rFonts w:hint="eastAsia" w:ascii="宋体" w:hAnsi="宋体" w:cs="仿宋"/>
          <w:bCs/>
          <w:color w:val="auto"/>
          <w:kern w:val="0"/>
          <w:sz w:val="24"/>
        </w:rPr>
        <w:t>代表及熟悉相关业务的有关技术、经济等方面的专家组成。</w:t>
      </w:r>
    </w:p>
    <w:p w14:paraId="25EDFDD7">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2.2</w:t>
      </w:r>
      <w:r>
        <w:rPr>
          <w:rFonts w:hint="eastAsia" w:cs="仿宋"/>
          <w:bCs/>
          <w:color w:val="auto"/>
          <w:kern w:val="0"/>
          <w:sz w:val="24"/>
          <w:lang w:eastAsia="zh-CN"/>
        </w:rPr>
        <w:t>评审</w:t>
      </w:r>
      <w:r>
        <w:rPr>
          <w:rFonts w:hint="eastAsia" w:ascii="宋体" w:hAnsi="宋体" w:cs="仿宋"/>
          <w:bCs/>
          <w:color w:val="auto"/>
          <w:kern w:val="0"/>
          <w:sz w:val="24"/>
        </w:rPr>
        <w:t>委员会成员为</w:t>
      </w:r>
      <w:r>
        <w:rPr>
          <w:rFonts w:hint="eastAsia" w:cs="仿宋"/>
          <w:bCs/>
          <w:color w:val="auto"/>
          <w:kern w:val="0"/>
          <w:sz w:val="24"/>
          <w:lang w:val="en-US" w:eastAsia="zh-CN"/>
        </w:rPr>
        <w:t>3</w:t>
      </w:r>
      <w:r>
        <w:rPr>
          <w:rFonts w:hint="eastAsia" w:ascii="宋体" w:hAnsi="宋体" w:cs="仿宋"/>
          <w:bCs/>
          <w:color w:val="auto"/>
          <w:kern w:val="0"/>
          <w:sz w:val="24"/>
        </w:rPr>
        <w:t>人及以上单数。</w:t>
      </w:r>
    </w:p>
    <w:p w14:paraId="4662E178">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2.3</w:t>
      </w:r>
      <w:r>
        <w:rPr>
          <w:rFonts w:hint="eastAsia" w:cs="仿宋"/>
          <w:bCs/>
          <w:color w:val="auto"/>
          <w:kern w:val="0"/>
          <w:sz w:val="24"/>
          <w:lang w:eastAsia="zh-CN"/>
        </w:rPr>
        <w:t>评审</w:t>
      </w:r>
      <w:r>
        <w:rPr>
          <w:rFonts w:hint="eastAsia" w:ascii="宋体" w:hAnsi="宋体" w:cs="仿宋"/>
          <w:bCs/>
          <w:color w:val="auto"/>
          <w:kern w:val="0"/>
          <w:sz w:val="24"/>
        </w:rPr>
        <w:t>工作由</w:t>
      </w:r>
      <w:r>
        <w:rPr>
          <w:rFonts w:hint="eastAsia" w:cs="仿宋"/>
          <w:bCs/>
          <w:color w:val="auto"/>
          <w:kern w:val="0"/>
          <w:sz w:val="24"/>
          <w:lang w:eastAsia="zh-CN"/>
        </w:rPr>
        <w:t>评审</w:t>
      </w:r>
      <w:r>
        <w:rPr>
          <w:rFonts w:hint="eastAsia" w:ascii="宋体" w:hAnsi="宋体" w:cs="仿宋"/>
          <w:bCs/>
          <w:color w:val="auto"/>
          <w:kern w:val="0"/>
          <w:sz w:val="24"/>
        </w:rPr>
        <w:t>委员会负责。</w:t>
      </w:r>
    </w:p>
    <w:p w14:paraId="5CB6A907">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3、工作小组</w:t>
      </w:r>
    </w:p>
    <w:p w14:paraId="27C204A7">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3.1由</w:t>
      </w:r>
      <w:r>
        <w:rPr>
          <w:rFonts w:hint="eastAsia" w:cs="仿宋"/>
          <w:bCs/>
          <w:color w:val="auto"/>
          <w:kern w:val="0"/>
          <w:sz w:val="24"/>
          <w:lang w:eastAsia="zh-CN"/>
        </w:rPr>
        <w:t>采购人</w:t>
      </w:r>
      <w:r>
        <w:rPr>
          <w:rFonts w:hint="eastAsia" w:ascii="宋体" w:hAnsi="宋体" w:cs="仿宋"/>
          <w:bCs/>
          <w:color w:val="auto"/>
          <w:kern w:val="0"/>
          <w:sz w:val="24"/>
        </w:rPr>
        <w:t>组成工作小组，为</w:t>
      </w:r>
      <w:r>
        <w:rPr>
          <w:rFonts w:hint="eastAsia" w:cs="仿宋"/>
          <w:bCs/>
          <w:color w:val="auto"/>
          <w:kern w:val="0"/>
          <w:sz w:val="24"/>
          <w:lang w:eastAsia="zh-CN"/>
        </w:rPr>
        <w:t>评审</w:t>
      </w:r>
      <w:r>
        <w:rPr>
          <w:rFonts w:hint="eastAsia" w:ascii="宋体" w:hAnsi="宋体" w:cs="仿宋"/>
          <w:bCs/>
          <w:color w:val="auto"/>
          <w:kern w:val="0"/>
          <w:sz w:val="24"/>
        </w:rPr>
        <w:t>委员会服务。</w:t>
      </w:r>
    </w:p>
    <w:p w14:paraId="05F98372">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3.2工作小组承担保管</w:t>
      </w:r>
      <w:r>
        <w:rPr>
          <w:rFonts w:hint="eastAsia" w:cs="仿宋"/>
          <w:bCs/>
          <w:color w:val="auto"/>
          <w:kern w:val="0"/>
          <w:sz w:val="24"/>
          <w:lang w:val="en-US" w:eastAsia="zh-CN"/>
        </w:rPr>
        <w:t>谈判</w:t>
      </w:r>
      <w:r>
        <w:rPr>
          <w:rFonts w:hint="eastAsia" w:ascii="宋体" w:hAnsi="宋体" w:cs="仿宋"/>
          <w:bCs/>
          <w:color w:val="auto"/>
          <w:kern w:val="0"/>
          <w:sz w:val="24"/>
        </w:rPr>
        <w:t>文件、</w:t>
      </w:r>
      <w:r>
        <w:rPr>
          <w:rFonts w:hint="eastAsia" w:cs="仿宋"/>
          <w:bCs/>
          <w:color w:val="auto"/>
          <w:kern w:val="0"/>
          <w:sz w:val="24"/>
          <w:lang w:val="en-US" w:eastAsia="zh-CN"/>
        </w:rPr>
        <w:t>响应</w:t>
      </w:r>
      <w:r>
        <w:rPr>
          <w:rFonts w:hint="eastAsia" w:ascii="宋体" w:hAnsi="宋体" w:cs="仿宋"/>
          <w:bCs/>
          <w:color w:val="auto"/>
          <w:kern w:val="0"/>
          <w:sz w:val="24"/>
        </w:rPr>
        <w:t>文件、发放</w:t>
      </w:r>
      <w:r>
        <w:rPr>
          <w:rFonts w:hint="eastAsia" w:cs="仿宋"/>
          <w:bCs/>
          <w:color w:val="auto"/>
          <w:kern w:val="0"/>
          <w:sz w:val="24"/>
          <w:lang w:eastAsia="zh-CN"/>
        </w:rPr>
        <w:t>评审</w:t>
      </w:r>
      <w:r>
        <w:rPr>
          <w:rFonts w:hint="eastAsia" w:ascii="宋体" w:hAnsi="宋体" w:cs="仿宋"/>
          <w:bCs/>
          <w:color w:val="auto"/>
          <w:kern w:val="0"/>
          <w:sz w:val="24"/>
        </w:rPr>
        <w:t>资料、</w:t>
      </w:r>
      <w:r>
        <w:rPr>
          <w:rFonts w:hint="eastAsia" w:cs="仿宋"/>
          <w:bCs/>
          <w:color w:val="auto"/>
          <w:kern w:val="0"/>
          <w:sz w:val="24"/>
          <w:lang w:val="en-US" w:eastAsia="zh-CN"/>
        </w:rPr>
        <w:t>响应</w:t>
      </w:r>
      <w:r>
        <w:rPr>
          <w:rFonts w:hint="eastAsia" w:ascii="宋体" w:hAnsi="宋体" w:cs="仿宋"/>
          <w:bCs/>
          <w:color w:val="auto"/>
          <w:kern w:val="0"/>
          <w:sz w:val="24"/>
        </w:rPr>
        <w:t>文件摘录汇总、基础数据对比及会议服务。</w:t>
      </w:r>
    </w:p>
    <w:p w14:paraId="14FFFBEB">
      <w:pPr>
        <w:spacing w:line="360" w:lineRule="auto"/>
        <w:rPr>
          <w:rFonts w:ascii="宋体" w:hAnsi="宋体" w:cs="仿宋"/>
          <w:bCs/>
          <w:color w:val="auto"/>
          <w:kern w:val="0"/>
          <w:sz w:val="24"/>
        </w:rPr>
      </w:pPr>
      <w:r>
        <w:rPr>
          <w:rFonts w:hint="eastAsia" w:ascii="宋体" w:hAnsi="宋体" w:cs="仿宋"/>
          <w:bCs/>
          <w:color w:val="auto"/>
          <w:kern w:val="0"/>
          <w:sz w:val="24"/>
        </w:rPr>
        <w:t>四、</w:t>
      </w:r>
      <w:r>
        <w:rPr>
          <w:rFonts w:hint="eastAsia" w:cs="仿宋"/>
          <w:bCs/>
          <w:color w:val="auto"/>
          <w:kern w:val="0"/>
          <w:sz w:val="24"/>
          <w:lang w:eastAsia="zh-CN"/>
        </w:rPr>
        <w:t>评审</w:t>
      </w:r>
      <w:r>
        <w:rPr>
          <w:rFonts w:hint="eastAsia" w:ascii="宋体" w:hAnsi="宋体" w:cs="仿宋"/>
          <w:bCs/>
          <w:color w:val="auto"/>
          <w:kern w:val="0"/>
          <w:sz w:val="24"/>
        </w:rPr>
        <w:t>程序及内容</w:t>
      </w:r>
    </w:p>
    <w:p w14:paraId="5BAC8E2E">
      <w:pPr>
        <w:spacing w:line="360" w:lineRule="auto"/>
        <w:ind w:firstLine="420" w:firstLineChars="200"/>
        <w:rPr>
          <w:rFonts w:hint="eastAsia" w:cs="仿宋"/>
          <w:bCs/>
          <w:color w:val="auto"/>
        </w:rPr>
      </w:pPr>
      <w:r>
        <w:rPr>
          <w:rFonts w:hint="eastAsia" w:cs="仿宋"/>
          <w:bCs/>
          <w:color w:val="auto"/>
        </w:rPr>
        <w:t>1、</w:t>
      </w:r>
      <w:r>
        <w:rPr>
          <w:rFonts w:hint="eastAsia" w:cs="仿宋"/>
          <w:bCs/>
          <w:color w:val="auto"/>
          <w:lang w:val="en-US" w:eastAsia="zh-CN"/>
        </w:rPr>
        <w:t>评审</w:t>
      </w:r>
      <w:r>
        <w:rPr>
          <w:rFonts w:hint="eastAsia" w:cs="仿宋"/>
          <w:bCs/>
          <w:color w:val="auto"/>
        </w:rPr>
        <w:t>方法：由资格审查、综合</w:t>
      </w:r>
      <w:r>
        <w:rPr>
          <w:rFonts w:hint="eastAsia" w:cs="仿宋"/>
          <w:bCs/>
          <w:color w:val="auto"/>
          <w:lang w:val="en-US" w:eastAsia="zh-CN"/>
        </w:rPr>
        <w:t>评估</w:t>
      </w:r>
      <w:r>
        <w:rPr>
          <w:rFonts w:hint="eastAsia" w:cs="仿宋"/>
          <w:bCs/>
          <w:color w:val="auto"/>
        </w:rPr>
        <w:t>两部分。</w:t>
      </w:r>
    </w:p>
    <w:p w14:paraId="1F37F986">
      <w:pPr>
        <w:spacing w:line="360" w:lineRule="auto"/>
        <w:ind w:firstLine="420" w:firstLineChars="200"/>
        <w:rPr>
          <w:rFonts w:cs="仿宋"/>
          <w:bCs/>
          <w:color w:val="auto"/>
        </w:rPr>
      </w:pPr>
      <w:r>
        <w:rPr>
          <w:rFonts w:hint="eastAsia" w:cs="仿宋"/>
          <w:bCs/>
          <w:color w:val="auto"/>
        </w:rPr>
        <w:t>2、资格审查：按对</w:t>
      </w:r>
      <w:r>
        <w:rPr>
          <w:rFonts w:hint="eastAsia" w:cs="仿宋"/>
          <w:bCs/>
          <w:color w:val="auto"/>
          <w:lang w:val="en-US" w:eastAsia="zh-CN"/>
        </w:rPr>
        <w:t>供应商</w:t>
      </w:r>
      <w:r>
        <w:rPr>
          <w:rFonts w:hint="eastAsia" w:cs="仿宋"/>
          <w:bCs/>
          <w:color w:val="auto"/>
        </w:rPr>
        <w:t>的资格要求、缴纳保证金等情况进行</w:t>
      </w:r>
      <w:r>
        <w:rPr>
          <w:rFonts w:hint="eastAsia" w:cs="仿宋"/>
          <w:bCs/>
          <w:color w:val="auto"/>
          <w:lang w:val="en-US" w:eastAsia="zh-CN"/>
        </w:rPr>
        <w:t>评审</w:t>
      </w:r>
      <w:r>
        <w:rPr>
          <w:rFonts w:hint="eastAsia" w:cs="仿宋"/>
          <w:bCs/>
          <w:color w:val="auto"/>
        </w:rPr>
        <w:t>。详见《资格审查表》。</w:t>
      </w:r>
    </w:p>
    <w:p w14:paraId="2993611F">
      <w:pPr>
        <w:spacing w:line="360" w:lineRule="auto"/>
        <w:ind w:firstLine="420" w:firstLineChars="200"/>
        <w:rPr>
          <w:rFonts w:ascii="宋体" w:hAnsi="宋体" w:cs="仿宋"/>
          <w:bCs/>
          <w:color w:val="auto"/>
          <w:kern w:val="0"/>
          <w:sz w:val="24"/>
        </w:rPr>
      </w:pPr>
      <w:r>
        <w:rPr>
          <w:rFonts w:hint="eastAsia" w:cs="仿宋"/>
          <w:bCs/>
          <w:color w:val="auto"/>
        </w:rPr>
        <w:t>3、综合</w:t>
      </w:r>
      <w:r>
        <w:rPr>
          <w:rFonts w:hint="eastAsia" w:cs="仿宋"/>
          <w:bCs/>
          <w:color w:val="auto"/>
          <w:lang w:val="en-US" w:eastAsia="zh-CN"/>
        </w:rPr>
        <w:t>评估</w:t>
      </w:r>
      <w:r>
        <w:rPr>
          <w:rFonts w:hint="eastAsia" w:cs="仿宋"/>
          <w:bCs/>
          <w:color w:val="auto"/>
        </w:rPr>
        <w:t>：通过资格审查后，根据</w:t>
      </w:r>
      <w:r>
        <w:rPr>
          <w:rFonts w:hint="eastAsia" w:cs="仿宋"/>
          <w:bCs/>
          <w:color w:val="auto"/>
          <w:lang w:val="en-US" w:eastAsia="zh-CN"/>
        </w:rPr>
        <w:t>供应商</w:t>
      </w:r>
      <w:r>
        <w:rPr>
          <w:rFonts w:hint="eastAsia" w:cs="仿宋"/>
          <w:bCs/>
          <w:color w:val="auto"/>
        </w:rPr>
        <w:t>的商务、技术和价格等进行综合</w:t>
      </w:r>
      <w:r>
        <w:rPr>
          <w:rFonts w:hint="eastAsia" w:cs="仿宋"/>
          <w:bCs/>
          <w:color w:val="auto"/>
          <w:lang w:val="en-US" w:eastAsia="zh-CN"/>
        </w:rPr>
        <w:t>评估</w:t>
      </w:r>
      <w:r>
        <w:rPr>
          <w:rFonts w:hint="eastAsia" w:cs="仿宋"/>
          <w:bCs/>
          <w:color w:val="auto"/>
        </w:rPr>
        <w:t>。</w:t>
      </w:r>
    </w:p>
    <w:p w14:paraId="3F4F4863">
      <w:pPr>
        <w:spacing w:line="360" w:lineRule="auto"/>
        <w:rPr>
          <w:rFonts w:ascii="宋体" w:hAnsi="宋体" w:cs="仿宋"/>
          <w:bCs/>
          <w:color w:val="auto"/>
          <w:kern w:val="0"/>
          <w:sz w:val="24"/>
        </w:rPr>
      </w:pPr>
      <w:r>
        <w:rPr>
          <w:rFonts w:hint="eastAsia" w:ascii="宋体" w:hAnsi="宋体" w:cs="仿宋"/>
          <w:bCs/>
          <w:color w:val="auto"/>
          <w:kern w:val="0"/>
          <w:sz w:val="24"/>
        </w:rPr>
        <w:t>五、</w:t>
      </w:r>
      <w:r>
        <w:rPr>
          <w:rFonts w:hint="eastAsia" w:cs="仿宋"/>
          <w:bCs/>
          <w:color w:val="auto"/>
          <w:kern w:val="0"/>
          <w:sz w:val="24"/>
          <w:lang w:eastAsia="zh-CN"/>
        </w:rPr>
        <w:t>评审</w:t>
      </w:r>
      <w:r>
        <w:rPr>
          <w:rFonts w:hint="eastAsia" w:ascii="宋体" w:hAnsi="宋体" w:cs="仿宋"/>
          <w:bCs/>
          <w:color w:val="auto"/>
          <w:kern w:val="0"/>
          <w:sz w:val="24"/>
        </w:rPr>
        <w:t>报告</w:t>
      </w:r>
    </w:p>
    <w:p w14:paraId="24E9FFFF">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w:t>
      </w:r>
      <w:r>
        <w:rPr>
          <w:rFonts w:hint="eastAsia" w:cs="仿宋"/>
          <w:bCs/>
          <w:color w:val="auto"/>
          <w:kern w:val="0"/>
          <w:sz w:val="24"/>
          <w:lang w:eastAsia="zh-CN"/>
        </w:rPr>
        <w:t>评审</w:t>
      </w:r>
      <w:r>
        <w:rPr>
          <w:rFonts w:hint="eastAsia" w:ascii="宋体" w:hAnsi="宋体" w:cs="仿宋"/>
          <w:bCs/>
          <w:color w:val="auto"/>
          <w:kern w:val="0"/>
          <w:sz w:val="24"/>
        </w:rPr>
        <w:t>委员会根据</w:t>
      </w:r>
      <w:r>
        <w:rPr>
          <w:rFonts w:hint="eastAsia" w:cs="仿宋"/>
          <w:bCs/>
          <w:color w:val="auto"/>
          <w:kern w:val="0"/>
          <w:sz w:val="24"/>
          <w:lang w:eastAsia="zh-CN"/>
        </w:rPr>
        <w:t>评审</w:t>
      </w:r>
      <w:r>
        <w:rPr>
          <w:rFonts w:hint="eastAsia" w:ascii="宋体" w:hAnsi="宋体" w:cs="仿宋"/>
          <w:bCs/>
          <w:color w:val="auto"/>
          <w:kern w:val="0"/>
          <w:sz w:val="24"/>
        </w:rPr>
        <w:t>情况和结果，向</w:t>
      </w:r>
      <w:r>
        <w:rPr>
          <w:rFonts w:hint="eastAsia" w:cs="仿宋"/>
          <w:bCs/>
          <w:color w:val="auto"/>
          <w:kern w:val="0"/>
          <w:sz w:val="24"/>
          <w:lang w:eastAsia="zh-CN"/>
        </w:rPr>
        <w:t>采购人</w:t>
      </w:r>
      <w:r>
        <w:rPr>
          <w:rFonts w:hint="eastAsia" w:ascii="宋体" w:hAnsi="宋体" w:cs="仿宋"/>
          <w:bCs/>
          <w:color w:val="auto"/>
          <w:kern w:val="0"/>
          <w:sz w:val="24"/>
        </w:rPr>
        <w:t>提交</w:t>
      </w:r>
      <w:r>
        <w:rPr>
          <w:rFonts w:hint="eastAsia" w:cs="仿宋"/>
          <w:bCs/>
          <w:color w:val="auto"/>
          <w:kern w:val="0"/>
          <w:sz w:val="24"/>
          <w:lang w:eastAsia="zh-CN"/>
        </w:rPr>
        <w:t>评审</w:t>
      </w:r>
      <w:r>
        <w:rPr>
          <w:rFonts w:hint="eastAsia" w:ascii="宋体" w:hAnsi="宋体" w:cs="仿宋"/>
          <w:bCs/>
          <w:color w:val="auto"/>
          <w:kern w:val="0"/>
          <w:sz w:val="24"/>
        </w:rPr>
        <w:t>报告。</w:t>
      </w:r>
      <w:r>
        <w:rPr>
          <w:rFonts w:hint="eastAsia" w:cs="仿宋"/>
          <w:bCs/>
          <w:color w:val="auto"/>
          <w:kern w:val="0"/>
          <w:sz w:val="24"/>
          <w:lang w:eastAsia="zh-CN"/>
        </w:rPr>
        <w:t>评审</w:t>
      </w:r>
      <w:r>
        <w:rPr>
          <w:rFonts w:hint="eastAsia" w:ascii="宋体" w:hAnsi="宋体" w:cs="仿宋"/>
          <w:bCs/>
          <w:color w:val="auto"/>
          <w:kern w:val="0"/>
          <w:sz w:val="24"/>
        </w:rPr>
        <w:t>报告由</w:t>
      </w:r>
      <w:r>
        <w:rPr>
          <w:rFonts w:hint="eastAsia" w:cs="仿宋"/>
          <w:bCs/>
          <w:color w:val="auto"/>
          <w:kern w:val="0"/>
          <w:sz w:val="24"/>
          <w:lang w:eastAsia="zh-CN"/>
        </w:rPr>
        <w:t>评审</w:t>
      </w:r>
      <w:r>
        <w:rPr>
          <w:rFonts w:hint="eastAsia" w:ascii="宋体" w:hAnsi="宋体" w:cs="仿宋"/>
          <w:bCs/>
          <w:color w:val="auto"/>
          <w:kern w:val="0"/>
          <w:sz w:val="24"/>
        </w:rPr>
        <w:t>委员会起草，</w:t>
      </w:r>
      <w:r>
        <w:rPr>
          <w:rFonts w:hint="eastAsia" w:cs="仿宋"/>
          <w:bCs/>
          <w:color w:val="auto"/>
          <w:kern w:val="0"/>
          <w:sz w:val="24"/>
          <w:lang w:eastAsia="zh-CN"/>
        </w:rPr>
        <w:t>评审</w:t>
      </w:r>
      <w:r>
        <w:rPr>
          <w:rFonts w:hint="eastAsia" w:ascii="宋体" w:hAnsi="宋体" w:cs="仿宋"/>
          <w:bCs/>
          <w:color w:val="auto"/>
          <w:kern w:val="0"/>
          <w:sz w:val="24"/>
        </w:rPr>
        <w:t>委员会全体成员应在</w:t>
      </w:r>
      <w:r>
        <w:rPr>
          <w:rFonts w:hint="eastAsia" w:cs="仿宋"/>
          <w:bCs/>
          <w:color w:val="auto"/>
          <w:kern w:val="0"/>
          <w:sz w:val="24"/>
          <w:lang w:eastAsia="zh-CN"/>
        </w:rPr>
        <w:t>评审</w:t>
      </w:r>
      <w:r>
        <w:rPr>
          <w:rFonts w:hint="eastAsia" w:ascii="宋体" w:hAnsi="宋体" w:cs="仿宋"/>
          <w:bCs/>
          <w:color w:val="auto"/>
          <w:kern w:val="0"/>
          <w:sz w:val="24"/>
        </w:rPr>
        <w:t>报告上签字确认，</w:t>
      </w:r>
      <w:r>
        <w:rPr>
          <w:rFonts w:hint="eastAsia" w:cs="仿宋"/>
          <w:bCs/>
          <w:color w:val="auto"/>
          <w:kern w:val="0"/>
          <w:sz w:val="24"/>
          <w:lang w:eastAsia="zh-CN"/>
        </w:rPr>
        <w:t>评审</w:t>
      </w:r>
      <w:r>
        <w:rPr>
          <w:rFonts w:hint="eastAsia" w:ascii="宋体" w:hAnsi="宋体" w:cs="仿宋"/>
          <w:bCs/>
          <w:color w:val="auto"/>
          <w:kern w:val="0"/>
          <w:sz w:val="24"/>
        </w:rPr>
        <w:t>专家如有保留意见可以在</w:t>
      </w:r>
      <w:r>
        <w:rPr>
          <w:rFonts w:hint="eastAsia" w:cs="仿宋"/>
          <w:bCs/>
          <w:color w:val="auto"/>
          <w:kern w:val="0"/>
          <w:sz w:val="24"/>
          <w:lang w:eastAsia="zh-CN"/>
        </w:rPr>
        <w:t>评审</w:t>
      </w:r>
      <w:r>
        <w:rPr>
          <w:rFonts w:hint="eastAsia" w:ascii="宋体" w:hAnsi="宋体" w:cs="仿宋"/>
          <w:bCs/>
          <w:color w:val="auto"/>
          <w:kern w:val="0"/>
          <w:sz w:val="24"/>
        </w:rPr>
        <w:t>报告中阐明。</w:t>
      </w:r>
    </w:p>
    <w:p w14:paraId="581F357D">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委员会在</w:t>
      </w:r>
      <w:r>
        <w:rPr>
          <w:rFonts w:hint="eastAsia" w:cs="仿宋"/>
          <w:bCs/>
          <w:color w:val="auto"/>
          <w:kern w:val="0"/>
          <w:sz w:val="24"/>
          <w:lang w:eastAsia="zh-CN"/>
        </w:rPr>
        <w:t>评审</w:t>
      </w:r>
      <w:r>
        <w:rPr>
          <w:rFonts w:hint="eastAsia" w:ascii="宋体" w:hAnsi="宋体" w:cs="仿宋"/>
          <w:bCs/>
          <w:color w:val="auto"/>
          <w:kern w:val="0"/>
          <w:sz w:val="24"/>
        </w:rPr>
        <w:t>报告中根据</w:t>
      </w:r>
      <w:r>
        <w:rPr>
          <w:rFonts w:hint="eastAsia" w:cs="仿宋"/>
          <w:bCs/>
          <w:color w:val="auto"/>
          <w:kern w:val="0"/>
          <w:sz w:val="24"/>
          <w:lang w:val="en-US" w:eastAsia="zh-CN"/>
        </w:rPr>
        <w:t>综合得分高低</w:t>
      </w:r>
      <w:r>
        <w:rPr>
          <w:rFonts w:hint="eastAsia" w:ascii="宋体" w:hAnsi="宋体" w:cs="仿宋"/>
          <w:bCs/>
          <w:color w:val="auto"/>
          <w:kern w:val="0"/>
          <w:sz w:val="24"/>
        </w:rPr>
        <w:t>排序推荐前一至</w:t>
      </w:r>
      <w:r>
        <w:rPr>
          <w:rFonts w:hint="eastAsia" w:cs="仿宋"/>
          <w:bCs/>
          <w:color w:val="auto"/>
          <w:kern w:val="0"/>
          <w:sz w:val="24"/>
          <w:lang w:val="en-US" w:eastAsia="zh-CN"/>
        </w:rPr>
        <w:t>二</w:t>
      </w:r>
      <w:r>
        <w:rPr>
          <w:rFonts w:hint="eastAsia" w:ascii="宋体" w:hAnsi="宋体" w:cs="仿宋"/>
          <w:bCs/>
          <w:color w:val="auto"/>
          <w:kern w:val="0"/>
          <w:sz w:val="24"/>
        </w:rPr>
        <w:t>名为</w:t>
      </w:r>
      <w:r>
        <w:rPr>
          <w:rFonts w:hint="eastAsia" w:cs="仿宋"/>
          <w:bCs/>
          <w:color w:val="auto"/>
          <w:kern w:val="0"/>
          <w:sz w:val="24"/>
          <w:lang w:val="en-US" w:eastAsia="zh-CN"/>
        </w:rPr>
        <w:t>成交</w:t>
      </w:r>
      <w:r>
        <w:rPr>
          <w:rFonts w:hint="eastAsia" w:ascii="宋体" w:hAnsi="宋体" w:cs="仿宋"/>
          <w:bCs/>
          <w:color w:val="auto"/>
          <w:kern w:val="0"/>
          <w:sz w:val="24"/>
        </w:rPr>
        <w:t>候选人。</w:t>
      </w:r>
    </w:p>
    <w:p w14:paraId="3821E2FE">
      <w:pPr>
        <w:spacing w:line="300" w:lineRule="auto"/>
        <w:ind w:firstLine="315" w:firstLineChars="150"/>
        <w:jc w:val="center"/>
        <w:rPr>
          <w:rFonts w:ascii="Times New Roman" w:hAnsi="Times New Roman"/>
          <w:color w:val="000000"/>
        </w:rPr>
      </w:pPr>
    </w:p>
    <w:p w14:paraId="05E5E5F4">
      <w:pPr>
        <w:pStyle w:val="12"/>
        <w:rPr>
          <w:rFonts w:ascii="Times New Roman" w:hAnsi="Times New Roman"/>
          <w:color w:val="000000"/>
        </w:rPr>
      </w:pPr>
    </w:p>
    <w:p w14:paraId="792B5E73">
      <w:pPr>
        <w:jc w:val="both"/>
        <w:rPr>
          <w:rFonts w:hint="eastAsia"/>
          <w:b/>
          <w:sz w:val="30"/>
          <w:szCs w:val="30"/>
        </w:rPr>
      </w:pPr>
    </w:p>
    <w:p w14:paraId="0523E8CA">
      <w:pPr>
        <w:jc w:val="center"/>
        <w:rPr>
          <w:b/>
          <w:sz w:val="30"/>
          <w:szCs w:val="30"/>
        </w:rPr>
      </w:pPr>
      <w:r>
        <w:rPr>
          <w:rFonts w:hint="eastAsia"/>
          <w:b/>
          <w:sz w:val="30"/>
          <w:szCs w:val="30"/>
        </w:rPr>
        <w:t>资格审查表</w:t>
      </w:r>
    </w:p>
    <w:p w14:paraId="4FEF0C6D">
      <w:pPr>
        <w:ind w:left="-708" w:leftChars="-337" w:firstLine="630" w:firstLineChars="300"/>
        <w:rPr>
          <w:szCs w:val="21"/>
        </w:rPr>
      </w:pPr>
      <w:r>
        <w:rPr>
          <w:rFonts w:hint="eastAsia"/>
          <w:szCs w:val="21"/>
        </w:rPr>
        <w:t xml:space="preserve">编号：                 </w:t>
      </w:r>
      <w:r>
        <w:rPr>
          <w:rFonts w:hint="eastAsia"/>
          <w:szCs w:val="21"/>
          <w:lang w:val="en-US" w:eastAsia="zh-CN"/>
        </w:rPr>
        <w:t>谈判</w:t>
      </w:r>
      <w:r>
        <w:rPr>
          <w:rFonts w:hint="eastAsia"/>
          <w:szCs w:val="21"/>
        </w:rPr>
        <w:t>时间：  年 月 日      审查日期：</w:t>
      </w:r>
    </w:p>
    <w:tbl>
      <w:tblPr>
        <w:tblStyle w:val="13"/>
        <w:tblW w:w="0" w:type="auto"/>
        <w:tblInd w:w="-601" w:type="dxa"/>
        <w:tblLayout w:type="fixed"/>
        <w:tblCellMar>
          <w:top w:w="0" w:type="dxa"/>
          <w:left w:w="108" w:type="dxa"/>
          <w:bottom w:w="0" w:type="dxa"/>
          <w:right w:w="108" w:type="dxa"/>
        </w:tblCellMar>
      </w:tblPr>
      <w:tblGrid>
        <w:gridCol w:w="551"/>
        <w:gridCol w:w="1222"/>
        <w:gridCol w:w="1630"/>
        <w:gridCol w:w="958"/>
        <w:gridCol w:w="445"/>
        <w:gridCol w:w="820"/>
        <w:gridCol w:w="1634"/>
        <w:gridCol w:w="2175"/>
      </w:tblGrid>
      <w:tr w14:paraId="7D4F5DC8">
        <w:tblPrEx>
          <w:tblCellMar>
            <w:top w:w="0" w:type="dxa"/>
            <w:left w:w="108" w:type="dxa"/>
            <w:bottom w:w="0" w:type="dxa"/>
            <w:right w:w="108" w:type="dxa"/>
          </w:tblCellMar>
        </w:tblPrEx>
        <w:trPr>
          <w:trHeight w:val="300" w:hRule="atLeast"/>
        </w:trPr>
        <w:tc>
          <w:tcPr>
            <w:tcW w:w="1773" w:type="dxa"/>
            <w:gridSpan w:val="2"/>
            <w:tcBorders>
              <w:top w:val="single" w:color="auto" w:sz="8" w:space="0"/>
              <w:left w:val="single" w:color="auto" w:sz="8" w:space="0"/>
              <w:bottom w:val="single" w:color="auto" w:sz="8" w:space="0"/>
              <w:right w:val="single" w:color="000000" w:sz="8" w:space="0"/>
            </w:tcBorders>
            <w:noWrap/>
            <w:vAlign w:val="center"/>
          </w:tcPr>
          <w:p w14:paraId="18B8B45D">
            <w:pPr>
              <w:jc w:val="center"/>
              <w:rPr>
                <w:szCs w:val="21"/>
              </w:rPr>
            </w:pPr>
            <w:r>
              <w:rPr>
                <w:rFonts w:hint="eastAsia"/>
                <w:szCs w:val="21"/>
              </w:rPr>
              <w:t>谈判名称</w:t>
            </w:r>
          </w:p>
        </w:tc>
        <w:tc>
          <w:tcPr>
            <w:tcW w:w="7662" w:type="dxa"/>
            <w:gridSpan w:val="6"/>
            <w:tcBorders>
              <w:top w:val="single" w:color="auto" w:sz="8" w:space="0"/>
              <w:left w:val="nil"/>
              <w:bottom w:val="single" w:color="auto" w:sz="8" w:space="0"/>
              <w:right w:val="single" w:color="000000" w:sz="8" w:space="0"/>
            </w:tcBorders>
            <w:noWrap/>
            <w:vAlign w:val="center"/>
          </w:tcPr>
          <w:p w14:paraId="481F0D40">
            <w:pPr>
              <w:jc w:val="center"/>
              <w:rPr>
                <w:szCs w:val="21"/>
              </w:rPr>
            </w:pPr>
          </w:p>
        </w:tc>
      </w:tr>
      <w:tr w14:paraId="1F1A4473">
        <w:tblPrEx>
          <w:tblCellMar>
            <w:top w:w="0" w:type="dxa"/>
            <w:left w:w="108" w:type="dxa"/>
            <w:bottom w:w="0" w:type="dxa"/>
            <w:right w:w="108" w:type="dxa"/>
          </w:tblCellMar>
        </w:tblPrEx>
        <w:trPr>
          <w:trHeight w:val="300" w:hRule="atLeast"/>
        </w:trPr>
        <w:tc>
          <w:tcPr>
            <w:tcW w:w="1773" w:type="dxa"/>
            <w:gridSpan w:val="2"/>
            <w:tcBorders>
              <w:top w:val="single" w:color="auto" w:sz="8" w:space="0"/>
              <w:left w:val="single" w:color="auto" w:sz="8" w:space="0"/>
              <w:bottom w:val="single" w:color="auto" w:sz="8" w:space="0"/>
              <w:right w:val="single" w:color="000000" w:sz="8" w:space="0"/>
            </w:tcBorders>
            <w:noWrap/>
            <w:vAlign w:val="center"/>
          </w:tcPr>
          <w:p w14:paraId="66992F2E">
            <w:pPr>
              <w:jc w:val="center"/>
              <w:rPr>
                <w:szCs w:val="21"/>
              </w:rPr>
            </w:pPr>
            <w:r>
              <w:rPr>
                <w:rFonts w:hint="eastAsia"/>
                <w:szCs w:val="21"/>
              </w:rPr>
              <w:t>谈判内容</w:t>
            </w:r>
          </w:p>
        </w:tc>
        <w:tc>
          <w:tcPr>
            <w:tcW w:w="7662" w:type="dxa"/>
            <w:gridSpan w:val="6"/>
            <w:tcBorders>
              <w:top w:val="single" w:color="auto" w:sz="8" w:space="0"/>
              <w:left w:val="nil"/>
              <w:bottom w:val="single" w:color="auto" w:sz="8" w:space="0"/>
              <w:right w:val="single" w:color="000000" w:sz="8" w:space="0"/>
            </w:tcBorders>
            <w:noWrap/>
            <w:vAlign w:val="center"/>
          </w:tcPr>
          <w:p w14:paraId="584FBC35">
            <w:pPr>
              <w:jc w:val="center"/>
              <w:rPr>
                <w:szCs w:val="21"/>
              </w:rPr>
            </w:pPr>
          </w:p>
        </w:tc>
      </w:tr>
      <w:tr w14:paraId="591F62BF">
        <w:tblPrEx>
          <w:tblCellMar>
            <w:top w:w="0" w:type="dxa"/>
            <w:left w:w="108" w:type="dxa"/>
            <w:bottom w:w="0" w:type="dxa"/>
            <w:right w:w="108" w:type="dxa"/>
          </w:tblCellMar>
        </w:tblPrEx>
        <w:trPr>
          <w:trHeight w:val="300" w:hRule="atLeast"/>
        </w:trPr>
        <w:tc>
          <w:tcPr>
            <w:tcW w:w="551" w:type="dxa"/>
            <w:tcBorders>
              <w:top w:val="nil"/>
              <w:left w:val="single" w:color="auto" w:sz="8" w:space="0"/>
              <w:bottom w:val="single" w:color="auto" w:sz="8" w:space="0"/>
              <w:right w:val="single" w:color="auto" w:sz="8" w:space="0"/>
            </w:tcBorders>
            <w:noWrap/>
            <w:vAlign w:val="center"/>
          </w:tcPr>
          <w:p w14:paraId="2FFFB83B">
            <w:pPr>
              <w:jc w:val="center"/>
              <w:rPr>
                <w:szCs w:val="21"/>
              </w:rPr>
            </w:pPr>
            <w:r>
              <w:rPr>
                <w:rFonts w:hint="eastAsia"/>
                <w:szCs w:val="21"/>
              </w:rPr>
              <w:t>序号</w:t>
            </w:r>
          </w:p>
        </w:tc>
        <w:tc>
          <w:tcPr>
            <w:tcW w:w="2852" w:type="dxa"/>
            <w:gridSpan w:val="2"/>
            <w:tcBorders>
              <w:top w:val="single" w:color="auto" w:sz="8" w:space="0"/>
              <w:left w:val="nil"/>
              <w:bottom w:val="single" w:color="auto" w:sz="8" w:space="0"/>
              <w:right w:val="single" w:color="000000" w:sz="8" w:space="0"/>
            </w:tcBorders>
            <w:noWrap/>
            <w:vAlign w:val="center"/>
          </w:tcPr>
          <w:p w14:paraId="337F4F42">
            <w:pPr>
              <w:jc w:val="center"/>
              <w:rPr>
                <w:szCs w:val="21"/>
              </w:rPr>
            </w:pPr>
            <w:r>
              <w:rPr>
                <w:rFonts w:hint="eastAsia"/>
                <w:szCs w:val="21"/>
              </w:rPr>
              <w:t>报名单位</w:t>
            </w:r>
          </w:p>
        </w:tc>
        <w:tc>
          <w:tcPr>
            <w:tcW w:w="958" w:type="dxa"/>
            <w:tcBorders>
              <w:top w:val="nil"/>
              <w:left w:val="nil"/>
              <w:bottom w:val="single" w:color="auto" w:sz="8" w:space="0"/>
              <w:right w:val="single" w:color="auto" w:sz="8" w:space="0"/>
            </w:tcBorders>
            <w:noWrap/>
            <w:vAlign w:val="center"/>
          </w:tcPr>
          <w:p w14:paraId="4E232876">
            <w:pPr>
              <w:jc w:val="center"/>
              <w:rPr>
                <w:szCs w:val="21"/>
              </w:rPr>
            </w:pPr>
            <w:r>
              <w:rPr>
                <w:rFonts w:hint="eastAsia"/>
                <w:szCs w:val="21"/>
              </w:rPr>
              <w:t>注册资金</w:t>
            </w:r>
          </w:p>
        </w:tc>
        <w:tc>
          <w:tcPr>
            <w:tcW w:w="445" w:type="dxa"/>
            <w:tcBorders>
              <w:top w:val="nil"/>
              <w:left w:val="nil"/>
              <w:bottom w:val="single" w:color="auto" w:sz="8" w:space="0"/>
              <w:right w:val="single" w:color="auto" w:sz="8" w:space="0"/>
            </w:tcBorders>
            <w:noWrap w:val="0"/>
            <w:vAlign w:val="center"/>
          </w:tcPr>
          <w:p w14:paraId="7C32A7F4">
            <w:pPr>
              <w:jc w:val="center"/>
              <w:rPr>
                <w:szCs w:val="21"/>
              </w:rPr>
            </w:pPr>
            <w:r>
              <w:rPr>
                <w:rFonts w:hint="eastAsia"/>
                <w:szCs w:val="21"/>
              </w:rPr>
              <w:t>业绩</w:t>
            </w:r>
          </w:p>
        </w:tc>
        <w:tc>
          <w:tcPr>
            <w:tcW w:w="820" w:type="dxa"/>
            <w:tcBorders>
              <w:top w:val="nil"/>
              <w:left w:val="nil"/>
              <w:bottom w:val="single" w:color="auto" w:sz="8" w:space="0"/>
              <w:right w:val="single" w:color="auto" w:sz="8" w:space="0"/>
            </w:tcBorders>
            <w:noWrap/>
            <w:vAlign w:val="center"/>
          </w:tcPr>
          <w:p w14:paraId="14C8C580">
            <w:pPr>
              <w:jc w:val="center"/>
              <w:rPr>
                <w:szCs w:val="21"/>
              </w:rPr>
            </w:pPr>
            <w:r>
              <w:rPr>
                <w:rFonts w:hint="eastAsia"/>
                <w:szCs w:val="21"/>
              </w:rPr>
              <w:t>联系人</w:t>
            </w:r>
          </w:p>
        </w:tc>
        <w:tc>
          <w:tcPr>
            <w:tcW w:w="1634" w:type="dxa"/>
            <w:tcBorders>
              <w:top w:val="nil"/>
              <w:left w:val="nil"/>
              <w:bottom w:val="single" w:color="auto" w:sz="8" w:space="0"/>
              <w:right w:val="single" w:color="auto" w:sz="8" w:space="0"/>
            </w:tcBorders>
            <w:noWrap/>
            <w:vAlign w:val="center"/>
          </w:tcPr>
          <w:p w14:paraId="3A40A9F3">
            <w:pPr>
              <w:jc w:val="center"/>
              <w:rPr>
                <w:szCs w:val="21"/>
              </w:rPr>
            </w:pPr>
            <w:r>
              <w:rPr>
                <w:rFonts w:hint="eastAsia"/>
                <w:szCs w:val="21"/>
              </w:rPr>
              <w:t>联系电话</w:t>
            </w:r>
          </w:p>
        </w:tc>
        <w:tc>
          <w:tcPr>
            <w:tcW w:w="2175" w:type="dxa"/>
            <w:tcBorders>
              <w:top w:val="nil"/>
              <w:left w:val="nil"/>
              <w:bottom w:val="single" w:color="auto" w:sz="8" w:space="0"/>
              <w:right w:val="single" w:color="auto" w:sz="8" w:space="0"/>
            </w:tcBorders>
            <w:noWrap/>
            <w:vAlign w:val="center"/>
          </w:tcPr>
          <w:p w14:paraId="542175B7">
            <w:pPr>
              <w:jc w:val="center"/>
              <w:rPr>
                <w:szCs w:val="21"/>
              </w:rPr>
            </w:pPr>
            <w:r>
              <w:rPr>
                <w:rFonts w:hint="eastAsia"/>
                <w:szCs w:val="21"/>
              </w:rPr>
              <w:t>包号</w:t>
            </w:r>
          </w:p>
        </w:tc>
      </w:tr>
      <w:tr w14:paraId="1FE13DF5">
        <w:tblPrEx>
          <w:tblCellMar>
            <w:top w:w="0" w:type="dxa"/>
            <w:left w:w="108" w:type="dxa"/>
            <w:bottom w:w="0" w:type="dxa"/>
            <w:right w:w="108" w:type="dxa"/>
          </w:tblCellMar>
        </w:tblPrEx>
        <w:trPr>
          <w:trHeight w:val="300" w:hRule="atLeast"/>
        </w:trPr>
        <w:tc>
          <w:tcPr>
            <w:tcW w:w="551" w:type="dxa"/>
            <w:tcBorders>
              <w:top w:val="nil"/>
              <w:left w:val="single" w:color="auto" w:sz="8" w:space="0"/>
              <w:bottom w:val="single" w:color="auto" w:sz="8" w:space="0"/>
              <w:right w:val="single" w:color="auto" w:sz="8" w:space="0"/>
            </w:tcBorders>
            <w:noWrap/>
            <w:vAlign w:val="center"/>
          </w:tcPr>
          <w:p w14:paraId="60334092">
            <w:pPr>
              <w:jc w:val="center"/>
              <w:rPr>
                <w:color w:val="000000"/>
                <w:szCs w:val="21"/>
              </w:rPr>
            </w:pPr>
            <w:r>
              <w:rPr>
                <w:rFonts w:hint="eastAsia"/>
                <w:color w:val="000000"/>
                <w:szCs w:val="21"/>
              </w:rPr>
              <w:t>1</w:t>
            </w:r>
          </w:p>
        </w:tc>
        <w:tc>
          <w:tcPr>
            <w:tcW w:w="2852" w:type="dxa"/>
            <w:gridSpan w:val="2"/>
            <w:tcBorders>
              <w:top w:val="single" w:color="auto" w:sz="8" w:space="0"/>
              <w:left w:val="nil"/>
              <w:bottom w:val="single" w:color="auto" w:sz="8" w:space="0"/>
              <w:right w:val="single" w:color="000000" w:sz="8" w:space="0"/>
            </w:tcBorders>
            <w:noWrap/>
            <w:vAlign w:val="center"/>
          </w:tcPr>
          <w:p w14:paraId="636A801D">
            <w:pPr>
              <w:jc w:val="center"/>
              <w:rPr>
                <w:color w:val="000000"/>
                <w:szCs w:val="21"/>
              </w:rPr>
            </w:pPr>
            <w:r>
              <w:rPr>
                <w:rFonts w:hint="eastAsia"/>
                <w:color w:val="000000"/>
                <w:szCs w:val="21"/>
              </w:rPr>
              <w:t>　</w:t>
            </w:r>
          </w:p>
        </w:tc>
        <w:tc>
          <w:tcPr>
            <w:tcW w:w="958" w:type="dxa"/>
            <w:tcBorders>
              <w:top w:val="nil"/>
              <w:left w:val="nil"/>
              <w:bottom w:val="single" w:color="auto" w:sz="8" w:space="0"/>
              <w:right w:val="single" w:color="auto" w:sz="8" w:space="0"/>
            </w:tcBorders>
            <w:noWrap/>
            <w:vAlign w:val="center"/>
          </w:tcPr>
          <w:p w14:paraId="32B1B2E1">
            <w:pPr>
              <w:jc w:val="center"/>
              <w:rPr>
                <w:color w:val="000000"/>
                <w:szCs w:val="21"/>
              </w:rPr>
            </w:pPr>
            <w:r>
              <w:rPr>
                <w:rFonts w:hint="eastAsia"/>
                <w:color w:val="000000"/>
                <w:szCs w:val="21"/>
              </w:rPr>
              <w:t>　</w:t>
            </w:r>
          </w:p>
        </w:tc>
        <w:tc>
          <w:tcPr>
            <w:tcW w:w="445" w:type="dxa"/>
            <w:tcBorders>
              <w:top w:val="nil"/>
              <w:left w:val="nil"/>
              <w:bottom w:val="single" w:color="auto" w:sz="8" w:space="0"/>
              <w:right w:val="single" w:color="auto" w:sz="8" w:space="0"/>
            </w:tcBorders>
            <w:noWrap/>
            <w:vAlign w:val="center"/>
          </w:tcPr>
          <w:p w14:paraId="63785BDD">
            <w:pPr>
              <w:jc w:val="center"/>
              <w:rPr>
                <w:color w:val="000000"/>
                <w:szCs w:val="21"/>
              </w:rPr>
            </w:pPr>
            <w:r>
              <w:rPr>
                <w:rFonts w:hint="eastAsia"/>
                <w:color w:val="000000"/>
                <w:szCs w:val="21"/>
              </w:rPr>
              <w:t>　</w:t>
            </w:r>
          </w:p>
        </w:tc>
        <w:tc>
          <w:tcPr>
            <w:tcW w:w="820" w:type="dxa"/>
            <w:tcBorders>
              <w:top w:val="nil"/>
              <w:left w:val="nil"/>
              <w:bottom w:val="single" w:color="auto" w:sz="8" w:space="0"/>
              <w:right w:val="single" w:color="auto" w:sz="8" w:space="0"/>
            </w:tcBorders>
            <w:noWrap/>
            <w:vAlign w:val="center"/>
          </w:tcPr>
          <w:p w14:paraId="112F12EB">
            <w:pPr>
              <w:jc w:val="center"/>
              <w:rPr>
                <w:color w:val="000000"/>
                <w:szCs w:val="21"/>
              </w:rPr>
            </w:pPr>
            <w:r>
              <w:rPr>
                <w:rFonts w:hint="eastAsia"/>
                <w:color w:val="000000"/>
                <w:szCs w:val="21"/>
              </w:rPr>
              <w:t>　</w:t>
            </w:r>
          </w:p>
        </w:tc>
        <w:tc>
          <w:tcPr>
            <w:tcW w:w="1634" w:type="dxa"/>
            <w:tcBorders>
              <w:top w:val="nil"/>
              <w:left w:val="nil"/>
              <w:bottom w:val="single" w:color="auto" w:sz="8" w:space="0"/>
              <w:right w:val="single" w:color="auto" w:sz="8" w:space="0"/>
            </w:tcBorders>
            <w:noWrap/>
            <w:vAlign w:val="center"/>
          </w:tcPr>
          <w:p w14:paraId="2D7D930D">
            <w:pPr>
              <w:jc w:val="center"/>
              <w:rPr>
                <w:color w:val="000000"/>
                <w:szCs w:val="21"/>
              </w:rPr>
            </w:pPr>
            <w:r>
              <w:rPr>
                <w:rFonts w:hint="eastAsia"/>
                <w:color w:val="000000"/>
                <w:szCs w:val="21"/>
              </w:rPr>
              <w:t>　</w:t>
            </w:r>
          </w:p>
        </w:tc>
        <w:tc>
          <w:tcPr>
            <w:tcW w:w="2175" w:type="dxa"/>
            <w:tcBorders>
              <w:top w:val="nil"/>
              <w:left w:val="nil"/>
              <w:bottom w:val="single" w:color="auto" w:sz="8" w:space="0"/>
              <w:right w:val="single" w:color="auto" w:sz="8" w:space="0"/>
            </w:tcBorders>
            <w:noWrap/>
            <w:vAlign w:val="center"/>
          </w:tcPr>
          <w:p w14:paraId="772B9F38">
            <w:pPr>
              <w:jc w:val="center"/>
              <w:rPr>
                <w:color w:val="000000"/>
                <w:szCs w:val="21"/>
              </w:rPr>
            </w:pPr>
            <w:r>
              <w:rPr>
                <w:rFonts w:hint="eastAsia"/>
                <w:color w:val="000000"/>
                <w:szCs w:val="21"/>
              </w:rPr>
              <w:t>　</w:t>
            </w:r>
          </w:p>
        </w:tc>
      </w:tr>
      <w:tr w14:paraId="736418A9">
        <w:tblPrEx>
          <w:tblCellMar>
            <w:top w:w="0" w:type="dxa"/>
            <w:left w:w="108" w:type="dxa"/>
            <w:bottom w:w="0" w:type="dxa"/>
            <w:right w:w="108" w:type="dxa"/>
          </w:tblCellMar>
        </w:tblPrEx>
        <w:trPr>
          <w:trHeight w:val="300" w:hRule="atLeast"/>
        </w:trPr>
        <w:tc>
          <w:tcPr>
            <w:tcW w:w="551" w:type="dxa"/>
            <w:tcBorders>
              <w:top w:val="nil"/>
              <w:left w:val="single" w:color="auto" w:sz="8" w:space="0"/>
              <w:bottom w:val="single" w:color="auto" w:sz="8" w:space="0"/>
              <w:right w:val="single" w:color="auto" w:sz="8" w:space="0"/>
            </w:tcBorders>
            <w:noWrap/>
            <w:vAlign w:val="center"/>
          </w:tcPr>
          <w:p w14:paraId="72F7DDAE">
            <w:pPr>
              <w:jc w:val="center"/>
              <w:rPr>
                <w:color w:val="000000"/>
                <w:szCs w:val="21"/>
              </w:rPr>
            </w:pPr>
            <w:r>
              <w:rPr>
                <w:rFonts w:hint="eastAsia"/>
                <w:color w:val="000000"/>
                <w:szCs w:val="21"/>
              </w:rPr>
              <w:t>2</w:t>
            </w:r>
          </w:p>
        </w:tc>
        <w:tc>
          <w:tcPr>
            <w:tcW w:w="2852" w:type="dxa"/>
            <w:gridSpan w:val="2"/>
            <w:tcBorders>
              <w:top w:val="single" w:color="auto" w:sz="8" w:space="0"/>
              <w:left w:val="nil"/>
              <w:bottom w:val="single" w:color="auto" w:sz="8" w:space="0"/>
              <w:right w:val="single" w:color="000000" w:sz="8" w:space="0"/>
            </w:tcBorders>
            <w:noWrap/>
            <w:vAlign w:val="center"/>
          </w:tcPr>
          <w:p w14:paraId="362E0974">
            <w:pPr>
              <w:jc w:val="center"/>
              <w:rPr>
                <w:color w:val="000000"/>
                <w:szCs w:val="21"/>
              </w:rPr>
            </w:pPr>
            <w:r>
              <w:rPr>
                <w:rFonts w:hint="eastAsia"/>
                <w:color w:val="000000"/>
                <w:szCs w:val="21"/>
              </w:rPr>
              <w:t>　</w:t>
            </w:r>
          </w:p>
        </w:tc>
        <w:tc>
          <w:tcPr>
            <w:tcW w:w="958" w:type="dxa"/>
            <w:tcBorders>
              <w:top w:val="nil"/>
              <w:left w:val="nil"/>
              <w:bottom w:val="single" w:color="auto" w:sz="8" w:space="0"/>
              <w:right w:val="single" w:color="auto" w:sz="8" w:space="0"/>
            </w:tcBorders>
            <w:noWrap/>
            <w:vAlign w:val="center"/>
          </w:tcPr>
          <w:p w14:paraId="66DEBFEC">
            <w:pPr>
              <w:jc w:val="center"/>
              <w:rPr>
                <w:color w:val="000000"/>
                <w:szCs w:val="21"/>
              </w:rPr>
            </w:pPr>
            <w:r>
              <w:rPr>
                <w:rFonts w:hint="eastAsia"/>
                <w:color w:val="000000"/>
                <w:szCs w:val="21"/>
              </w:rPr>
              <w:t>　</w:t>
            </w:r>
          </w:p>
        </w:tc>
        <w:tc>
          <w:tcPr>
            <w:tcW w:w="445" w:type="dxa"/>
            <w:tcBorders>
              <w:top w:val="nil"/>
              <w:left w:val="nil"/>
              <w:bottom w:val="single" w:color="auto" w:sz="8" w:space="0"/>
              <w:right w:val="single" w:color="auto" w:sz="8" w:space="0"/>
            </w:tcBorders>
            <w:noWrap/>
            <w:vAlign w:val="center"/>
          </w:tcPr>
          <w:p w14:paraId="1D7536C4">
            <w:pPr>
              <w:jc w:val="center"/>
              <w:rPr>
                <w:color w:val="000000"/>
                <w:szCs w:val="21"/>
              </w:rPr>
            </w:pPr>
            <w:r>
              <w:rPr>
                <w:rFonts w:hint="eastAsia"/>
                <w:color w:val="000000"/>
                <w:szCs w:val="21"/>
              </w:rPr>
              <w:t>　</w:t>
            </w:r>
          </w:p>
        </w:tc>
        <w:tc>
          <w:tcPr>
            <w:tcW w:w="820" w:type="dxa"/>
            <w:tcBorders>
              <w:top w:val="nil"/>
              <w:left w:val="nil"/>
              <w:bottom w:val="single" w:color="auto" w:sz="8" w:space="0"/>
              <w:right w:val="single" w:color="auto" w:sz="8" w:space="0"/>
            </w:tcBorders>
            <w:noWrap/>
            <w:vAlign w:val="center"/>
          </w:tcPr>
          <w:p w14:paraId="27AF69FF">
            <w:pPr>
              <w:jc w:val="center"/>
              <w:rPr>
                <w:color w:val="000000"/>
                <w:szCs w:val="21"/>
              </w:rPr>
            </w:pPr>
            <w:r>
              <w:rPr>
                <w:rFonts w:hint="eastAsia"/>
                <w:color w:val="000000"/>
                <w:szCs w:val="21"/>
              </w:rPr>
              <w:t>　</w:t>
            </w:r>
          </w:p>
        </w:tc>
        <w:tc>
          <w:tcPr>
            <w:tcW w:w="1634" w:type="dxa"/>
            <w:tcBorders>
              <w:top w:val="nil"/>
              <w:left w:val="nil"/>
              <w:bottom w:val="single" w:color="auto" w:sz="8" w:space="0"/>
              <w:right w:val="single" w:color="auto" w:sz="8" w:space="0"/>
            </w:tcBorders>
            <w:noWrap/>
            <w:vAlign w:val="center"/>
          </w:tcPr>
          <w:p w14:paraId="35CEE576">
            <w:pPr>
              <w:jc w:val="center"/>
              <w:rPr>
                <w:color w:val="000000"/>
                <w:szCs w:val="21"/>
              </w:rPr>
            </w:pPr>
            <w:r>
              <w:rPr>
                <w:rFonts w:hint="eastAsia"/>
                <w:color w:val="000000"/>
                <w:szCs w:val="21"/>
              </w:rPr>
              <w:t>　</w:t>
            </w:r>
          </w:p>
        </w:tc>
        <w:tc>
          <w:tcPr>
            <w:tcW w:w="2175" w:type="dxa"/>
            <w:tcBorders>
              <w:top w:val="nil"/>
              <w:left w:val="nil"/>
              <w:bottom w:val="single" w:color="auto" w:sz="8" w:space="0"/>
              <w:right w:val="single" w:color="auto" w:sz="8" w:space="0"/>
            </w:tcBorders>
            <w:noWrap/>
            <w:vAlign w:val="center"/>
          </w:tcPr>
          <w:p w14:paraId="65D9B5EF">
            <w:pPr>
              <w:jc w:val="center"/>
              <w:rPr>
                <w:color w:val="000000"/>
                <w:szCs w:val="21"/>
              </w:rPr>
            </w:pPr>
            <w:r>
              <w:rPr>
                <w:rFonts w:hint="eastAsia"/>
                <w:color w:val="000000"/>
                <w:szCs w:val="21"/>
              </w:rPr>
              <w:t>　</w:t>
            </w:r>
          </w:p>
        </w:tc>
      </w:tr>
      <w:tr w14:paraId="2D6DFF8C">
        <w:tblPrEx>
          <w:tblCellMar>
            <w:top w:w="0" w:type="dxa"/>
            <w:left w:w="108" w:type="dxa"/>
            <w:bottom w:w="0" w:type="dxa"/>
            <w:right w:w="108" w:type="dxa"/>
          </w:tblCellMar>
        </w:tblPrEx>
        <w:trPr>
          <w:trHeight w:val="300" w:hRule="atLeast"/>
        </w:trPr>
        <w:tc>
          <w:tcPr>
            <w:tcW w:w="551" w:type="dxa"/>
            <w:tcBorders>
              <w:top w:val="nil"/>
              <w:left w:val="single" w:color="auto" w:sz="8" w:space="0"/>
              <w:bottom w:val="single" w:color="auto" w:sz="8" w:space="0"/>
              <w:right w:val="single" w:color="auto" w:sz="8" w:space="0"/>
            </w:tcBorders>
            <w:noWrap/>
            <w:vAlign w:val="center"/>
          </w:tcPr>
          <w:p w14:paraId="42783F59">
            <w:pPr>
              <w:jc w:val="center"/>
              <w:rPr>
                <w:color w:val="000000"/>
                <w:szCs w:val="21"/>
              </w:rPr>
            </w:pPr>
            <w:r>
              <w:rPr>
                <w:rFonts w:hint="eastAsia"/>
                <w:color w:val="000000"/>
                <w:szCs w:val="21"/>
              </w:rPr>
              <w:t>3</w:t>
            </w:r>
          </w:p>
        </w:tc>
        <w:tc>
          <w:tcPr>
            <w:tcW w:w="2852" w:type="dxa"/>
            <w:gridSpan w:val="2"/>
            <w:tcBorders>
              <w:top w:val="single" w:color="auto" w:sz="8" w:space="0"/>
              <w:left w:val="nil"/>
              <w:bottom w:val="single" w:color="auto" w:sz="8" w:space="0"/>
              <w:right w:val="single" w:color="000000" w:sz="8" w:space="0"/>
            </w:tcBorders>
            <w:noWrap/>
            <w:vAlign w:val="center"/>
          </w:tcPr>
          <w:p w14:paraId="70AB5C9E">
            <w:pPr>
              <w:jc w:val="center"/>
              <w:rPr>
                <w:color w:val="000000"/>
                <w:szCs w:val="21"/>
              </w:rPr>
            </w:pPr>
            <w:r>
              <w:rPr>
                <w:rFonts w:hint="eastAsia"/>
                <w:color w:val="000000"/>
                <w:szCs w:val="21"/>
              </w:rPr>
              <w:t>　</w:t>
            </w:r>
          </w:p>
        </w:tc>
        <w:tc>
          <w:tcPr>
            <w:tcW w:w="958" w:type="dxa"/>
            <w:tcBorders>
              <w:top w:val="nil"/>
              <w:left w:val="nil"/>
              <w:bottom w:val="single" w:color="auto" w:sz="8" w:space="0"/>
              <w:right w:val="single" w:color="auto" w:sz="8" w:space="0"/>
            </w:tcBorders>
            <w:noWrap/>
            <w:vAlign w:val="center"/>
          </w:tcPr>
          <w:p w14:paraId="571F1F77">
            <w:pPr>
              <w:jc w:val="center"/>
              <w:rPr>
                <w:color w:val="000000"/>
                <w:szCs w:val="21"/>
              </w:rPr>
            </w:pPr>
            <w:r>
              <w:rPr>
                <w:rFonts w:hint="eastAsia"/>
                <w:color w:val="000000"/>
                <w:szCs w:val="21"/>
              </w:rPr>
              <w:t>　</w:t>
            </w:r>
          </w:p>
        </w:tc>
        <w:tc>
          <w:tcPr>
            <w:tcW w:w="445" w:type="dxa"/>
            <w:tcBorders>
              <w:top w:val="nil"/>
              <w:left w:val="nil"/>
              <w:bottom w:val="single" w:color="auto" w:sz="8" w:space="0"/>
              <w:right w:val="single" w:color="auto" w:sz="8" w:space="0"/>
            </w:tcBorders>
            <w:noWrap/>
            <w:vAlign w:val="center"/>
          </w:tcPr>
          <w:p w14:paraId="62BF4DD5">
            <w:pPr>
              <w:jc w:val="center"/>
              <w:rPr>
                <w:color w:val="000000"/>
                <w:szCs w:val="21"/>
              </w:rPr>
            </w:pPr>
            <w:r>
              <w:rPr>
                <w:rFonts w:hint="eastAsia"/>
                <w:color w:val="000000"/>
                <w:szCs w:val="21"/>
              </w:rPr>
              <w:t>　</w:t>
            </w:r>
          </w:p>
        </w:tc>
        <w:tc>
          <w:tcPr>
            <w:tcW w:w="820" w:type="dxa"/>
            <w:tcBorders>
              <w:top w:val="nil"/>
              <w:left w:val="nil"/>
              <w:bottom w:val="single" w:color="auto" w:sz="8" w:space="0"/>
              <w:right w:val="single" w:color="auto" w:sz="8" w:space="0"/>
            </w:tcBorders>
            <w:noWrap/>
            <w:vAlign w:val="center"/>
          </w:tcPr>
          <w:p w14:paraId="21A9E025">
            <w:pPr>
              <w:jc w:val="center"/>
              <w:rPr>
                <w:color w:val="000000"/>
                <w:szCs w:val="21"/>
              </w:rPr>
            </w:pPr>
            <w:r>
              <w:rPr>
                <w:rFonts w:hint="eastAsia"/>
                <w:color w:val="000000"/>
                <w:szCs w:val="21"/>
              </w:rPr>
              <w:t>　</w:t>
            </w:r>
          </w:p>
        </w:tc>
        <w:tc>
          <w:tcPr>
            <w:tcW w:w="1634" w:type="dxa"/>
            <w:tcBorders>
              <w:top w:val="nil"/>
              <w:left w:val="nil"/>
              <w:bottom w:val="single" w:color="auto" w:sz="8" w:space="0"/>
              <w:right w:val="single" w:color="auto" w:sz="8" w:space="0"/>
            </w:tcBorders>
            <w:noWrap/>
            <w:vAlign w:val="center"/>
          </w:tcPr>
          <w:p w14:paraId="445403CA">
            <w:pPr>
              <w:jc w:val="center"/>
              <w:rPr>
                <w:color w:val="000000"/>
                <w:szCs w:val="21"/>
              </w:rPr>
            </w:pPr>
            <w:r>
              <w:rPr>
                <w:rFonts w:hint="eastAsia"/>
                <w:color w:val="000000"/>
                <w:szCs w:val="21"/>
              </w:rPr>
              <w:t>　</w:t>
            </w:r>
          </w:p>
        </w:tc>
        <w:tc>
          <w:tcPr>
            <w:tcW w:w="2175" w:type="dxa"/>
            <w:tcBorders>
              <w:top w:val="nil"/>
              <w:left w:val="nil"/>
              <w:bottom w:val="single" w:color="auto" w:sz="8" w:space="0"/>
              <w:right w:val="single" w:color="auto" w:sz="8" w:space="0"/>
            </w:tcBorders>
            <w:noWrap/>
            <w:vAlign w:val="center"/>
          </w:tcPr>
          <w:p w14:paraId="6354AEC4">
            <w:pPr>
              <w:jc w:val="center"/>
              <w:rPr>
                <w:color w:val="000000"/>
                <w:szCs w:val="21"/>
              </w:rPr>
            </w:pPr>
            <w:r>
              <w:rPr>
                <w:rFonts w:hint="eastAsia"/>
                <w:color w:val="000000"/>
                <w:szCs w:val="21"/>
              </w:rPr>
              <w:t>　</w:t>
            </w:r>
          </w:p>
        </w:tc>
      </w:tr>
      <w:tr w14:paraId="00D7D653">
        <w:tblPrEx>
          <w:tblCellMar>
            <w:top w:w="0" w:type="dxa"/>
            <w:left w:w="108" w:type="dxa"/>
            <w:bottom w:w="0" w:type="dxa"/>
            <w:right w:w="108" w:type="dxa"/>
          </w:tblCellMar>
        </w:tblPrEx>
        <w:trPr>
          <w:trHeight w:val="300" w:hRule="atLeast"/>
        </w:trPr>
        <w:tc>
          <w:tcPr>
            <w:tcW w:w="551" w:type="dxa"/>
            <w:tcBorders>
              <w:top w:val="nil"/>
              <w:left w:val="single" w:color="auto" w:sz="8" w:space="0"/>
              <w:bottom w:val="single" w:color="auto" w:sz="8" w:space="0"/>
              <w:right w:val="single" w:color="auto" w:sz="8" w:space="0"/>
            </w:tcBorders>
            <w:noWrap/>
            <w:vAlign w:val="center"/>
          </w:tcPr>
          <w:p w14:paraId="44D6BE49">
            <w:pPr>
              <w:jc w:val="center"/>
              <w:rPr>
                <w:color w:val="000000"/>
                <w:szCs w:val="21"/>
              </w:rPr>
            </w:pPr>
            <w:r>
              <w:rPr>
                <w:rFonts w:hint="eastAsia"/>
                <w:color w:val="000000"/>
                <w:szCs w:val="21"/>
              </w:rPr>
              <w:t>4</w:t>
            </w:r>
          </w:p>
        </w:tc>
        <w:tc>
          <w:tcPr>
            <w:tcW w:w="2852" w:type="dxa"/>
            <w:gridSpan w:val="2"/>
            <w:tcBorders>
              <w:top w:val="single" w:color="auto" w:sz="8" w:space="0"/>
              <w:left w:val="nil"/>
              <w:bottom w:val="single" w:color="auto" w:sz="8" w:space="0"/>
              <w:right w:val="single" w:color="000000" w:sz="8" w:space="0"/>
            </w:tcBorders>
            <w:noWrap/>
            <w:vAlign w:val="center"/>
          </w:tcPr>
          <w:p w14:paraId="6DFB0713">
            <w:pPr>
              <w:jc w:val="center"/>
              <w:rPr>
                <w:color w:val="000000"/>
                <w:szCs w:val="21"/>
              </w:rPr>
            </w:pPr>
          </w:p>
        </w:tc>
        <w:tc>
          <w:tcPr>
            <w:tcW w:w="958" w:type="dxa"/>
            <w:tcBorders>
              <w:top w:val="nil"/>
              <w:left w:val="nil"/>
              <w:bottom w:val="single" w:color="auto" w:sz="8" w:space="0"/>
              <w:right w:val="single" w:color="auto" w:sz="8" w:space="0"/>
            </w:tcBorders>
            <w:noWrap/>
            <w:vAlign w:val="center"/>
          </w:tcPr>
          <w:p w14:paraId="1A084877">
            <w:pPr>
              <w:jc w:val="center"/>
              <w:rPr>
                <w:color w:val="000000"/>
                <w:szCs w:val="21"/>
              </w:rPr>
            </w:pPr>
          </w:p>
        </w:tc>
        <w:tc>
          <w:tcPr>
            <w:tcW w:w="445" w:type="dxa"/>
            <w:tcBorders>
              <w:top w:val="nil"/>
              <w:left w:val="nil"/>
              <w:bottom w:val="single" w:color="auto" w:sz="8" w:space="0"/>
              <w:right w:val="single" w:color="auto" w:sz="8" w:space="0"/>
            </w:tcBorders>
            <w:noWrap/>
            <w:vAlign w:val="center"/>
          </w:tcPr>
          <w:p w14:paraId="64BF422B">
            <w:pPr>
              <w:jc w:val="center"/>
              <w:rPr>
                <w:color w:val="000000"/>
                <w:szCs w:val="21"/>
              </w:rPr>
            </w:pPr>
          </w:p>
        </w:tc>
        <w:tc>
          <w:tcPr>
            <w:tcW w:w="820" w:type="dxa"/>
            <w:tcBorders>
              <w:top w:val="nil"/>
              <w:left w:val="nil"/>
              <w:bottom w:val="single" w:color="auto" w:sz="8" w:space="0"/>
              <w:right w:val="single" w:color="auto" w:sz="8" w:space="0"/>
            </w:tcBorders>
            <w:noWrap/>
            <w:vAlign w:val="center"/>
          </w:tcPr>
          <w:p w14:paraId="07A62BAF">
            <w:pPr>
              <w:jc w:val="center"/>
              <w:rPr>
                <w:color w:val="000000"/>
                <w:szCs w:val="21"/>
              </w:rPr>
            </w:pPr>
          </w:p>
        </w:tc>
        <w:tc>
          <w:tcPr>
            <w:tcW w:w="1634" w:type="dxa"/>
            <w:tcBorders>
              <w:top w:val="nil"/>
              <w:left w:val="nil"/>
              <w:bottom w:val="single" w:color="auto" w:sz="8" w:space="0"/>
              <w:right w:val="single" w:color="auto" w:sz="8" w:space="0"/>
            </w:tcBorders>
            <w:noWrap/>
            <w:vAlign w:val="center"/>
          </w:tcPr>
          <w:p w14:paraId="48376179">
            <w:pPr>
              <w:jc w:val="center"/>
              <w:rPr>
                <w:color w:val="000000"/>
                <w:szCs w:val="21"/>
              </w:rPr>
            </w:pPr>
          </w:p>
        </w:tc>
        <w:tc>
          <w:tcPr>
            <w:tcW w:w="2175" w:type="dxa"/>
            <w:tcBorders>
              <w:top w:val="nil"/>
              <w:left w:val="nil"/>
              <w:bottom w:val="single" w:color="auto" w:sz="8" w:space="0"/>
              <w:right w:val="single" w:color="auto" w:sz="8" w:space="0"/>
            </w:tcBorders>
            <w:noWrap/>
            <w:vAlign w:val="center"/>
          </w:tcPr>
          <w:p w14:paraId="4E2FA1A9">
            <w:pPr>
              <w:jc w:val="center"/>
              <w:rPr>
                <w:color w:val="000000"/>
                <w:szCs w:val="21"/>
              </w:rPr>
            </w:pPr>
          </w:p>
        </w:tc>
      </w:tr>
      <w:tr w14:paraId="7BD0BCF1">
        <w:tblPrEx>
          <w:tblCellMar>
            <w:top w:w="0" w:type="dxa"/>
            <w:left w:w="108" w:type="dxa"/>
            <w:bottom w:w="0" w:type="dxa"/>
            <w:right w:w="108" w:type="dxa"/>
          </w:tblCellMar>
        </w:tblPrEx>
        <w:trPr>
          <w:trHeight w:val="300" w:hRule="atLeast"/>
        </w:trPr>
        <w:tc>
          <w:tcPr>
            <w:tcW w:w="9435" w:type="dxa"/>
            <w:gridSpan w:val="8"/>
            <w:tcBorders>
              <w:top w:val="single" w:color="auto" w:sz="8" w:space="0"/>
              <w:left w:val="single" w:color="auto" w:sz="8" w:space="0"/>
              <w:bottom w:val="single" w:color="auto" w:sz="8" w:space="0"/>
              <w:right w:val="single" w:color="000000" w:sz="8" w:space="0"/>
            </w:tcBorders>
            <w:noWrap/>
            <w:vAlign w:val="center"/>
          </w:tcPr>
          <w:p w14:paraId="40FB1EEE">
            <w:pPr>
              <w:jc w:val="center"/>
              <w:rPr>
                <w:color w:val="000000"/>
                <w:szCs w:val="21"/>
              </w:rPr>
            </w:pPr>
            <w:r>
              <w:rPr>
                <w:rFonts w:hint="eastAsia"/>
                <w:color w:val="000000"/>
                <w:szCs w:val="21"/>
              </w:rPr>
              <w:t>资质审查情况说明</w:t>
            </w:r>
          </w:p>
        </w:tc>
      </w:tr>
      <w:tr w14:paraId="2060312A">
        <w:tblPrEx>
          <w:tblCellMar>
            <w:top w:w="0" w:type="dxa"/>
            <w:left w:w="108" w:type="dxa"/>
            <w:bottom w:w="0" w:type="dxa"/>
            <w:right w:w="108" w:type="dxa"/>
          </w:tblCellMar>
        </w:tblPrEx>
        <w:trPr>
          <w:trHeight w:val="20" w:hRule="exact"/>
        </w:trPr>
        <w:tc>
          <w:tcPr>
            <w:tcW w:w="9435" w:type="dxa"/>
            <w:gridSpan w:val="8"/>
            <w:vMerge w:val="restart"/>
            <w:tcBorders>
              <w:top w:val="single" w:color="auto" w:sz="8" w:space="0"/>
              <w:left w:val="single" w:color="auto" w:sz="8" w:space="0"/>
              <w:bottom w:val="single" w:color="000000" w:sz="8" w:space="0"/>
              <w:right w:val="single" w:color="000000" w:sz="8" w:space="0"/>
            </w:tcBorders>
            <w:noWrap/>
            <w:vAlign w:val="top"/>
          </w:tcPr>
          <w:p w14:paraId="562B316B">
            <w:pPr>
              <w:rPr>
                <w:color w:val="000000"/>
                <w:szCs w:val="21"/>
              </w:rPr>
            </w:pPr>
            <w:r>
              <w:rPr>
                <w:rFonts w:hint="eastAsia"/>
                <w:color w:val="000000"/>
                <w:szCs w:val="21"/>
              </w:rPr>
              <w:t>（资质、业绩、技术、能力</w:t>
            </w:r>
            <w:r>
              <w:rPr>
                <w:rFonts w:hint="eastAsia"/>
                <w:color w:val="000000"/>
                <w:szCs w:val="21"/>
                <w:lang w:eastAsia="zh-CN"/>
              </w:rPr>
              <w:t>，</w:t>
            </w:r>
            <w:r>
              <w:rPr>
                <w:rFonts w:hint="eastAsia"/>
                <w:color w:val="000000"/>
                <w:szCs w:val="21"/>
                <w:lang w:val="en-US" w:eastAsia="zh-CN"/>
              </w:rPr>
              <w:t>谈判保证金</w:t>
            </w:r>
            <w:r>
              <w:rPr>
                <w:rFonts w:hint="eastAsia"/>
                <w:color w:val="000000"/>
                <w:szCs w:val="21"/>
              </w:rPr>
              <w:t>等方面）</w:t>
            </w:r>
          </w:p>
          <w:p w14:paraId="152CFB37">
            <w:pPr>
              <w:rPr>
                <w:szCs w:val="21"/>
              </w:rPr>
            </w:pPr>
          </w:p>
          <w:p w14:paraId="43EF1F07">
            <w:pPr>
              <w:tabs>
                <w:tab w:val="left" w:pos="3171"/>
              </w:tabs>
              <w:rPr>
                <w:szCs w:val="21"/>
              </w:rPr>
            </w:pPr>
          </w:p>
        </w:tc>
      </w:tr>
      <w:tr w14:paraId="3115A472">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47EB9E87">
            <w:pPr>
              <w:rPr>
                <w:color w:val="000000"/>
                <w:szCs w:val="21"/>
              </w:rPr>
            </w:pPr>
          </w:p>
        </w:tc>
      </w:tr>
      <w:tr w14:paraId="2E2D0EB3">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8AAA0CF">
            <w:pPr>
              <w:rPr>
                <w:color w:val="000000"/>
                <w:szCs w:val="21"/>
              </w:rPr>
            </w:pPr>
          </w:p>
        </w:tc>
      </w:tr>
      <w:tr w14:paraId="72AD9608">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6CA54AE6">
            <w:pPr>
              <w:rPr>
                <w:color w:val="000000"/>
                <w:szCs w:val="21"/>
              </w:rPr>
            </w:pPr>
          </w:p>
        </w:tc>
      </w:tr>
      <w:tr w14:paraId="47184E60">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2B6CA382">
            <w:pPr>
              <w:rPr>
                <w:color w:val="000000"/>
                <w:szCs w:val="21"/>
              </w:rPr>
            </w:pPr>
          </w:p>
        </w:tc>
      </w:tr>
      <w:tr w14:paraId="38FED859">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62A837C1">
            <w:pPr>
              <w:rPr>
                <w:color w:val="000000"/>
                <w:szCs w:val="21"/>
              </w:rPr>
            </w:pPr>
          </w:p>
        </w:tc>
      </w:tr>
      <w:tr w14:paraId="6DEB8EFC">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030AED0C">
            <w:pPr>
              <w:rPr>
                <w:color w:val="000000"/>
                <w:szCs w:val="21"/>
              </w:rPr>
            </w:pPr>
          </w:p>
        </w:tc>
      </w:tr>
      <w:tr w14:paraId="458D6A29">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1652B013">
            <w:pPr>
              <w:rPr>
                <w:color w:val="000000"/>
                <w:szCs w:val="21"/>
              </w:rPr>
            </w:pPr>
          </w:p>
        </w:tc>
      </w:tr>
      <w:tr w14:paraId="2C8D8CDF">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43F8B819">
            <w:pPr>
              <w:rPr>
                <w:color w:val="000000"/>
                <w:szCs w:val="21"/>
              </w:rPr>
            </w:pPr>
          </w:p>
        </w:tc>
      </w:tr>
      <w:tr w14:paraId="7FF4E7BE">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280ACEF">
            <w:pPr>
              <w:rPr>
                <w:color w:val="000000"/>
                <w:szCs w:val="21"/>
              </w:rPr>
            </w:pPr>
          </w:p>
        </w:tc>
      </w:tr>
      <w:tr w14:paraId="1120A76C">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44AE8A1E">
            <w:pPr>
              <w:rPr>
                <w:color w:val="000000"/>
                <w:szCs w:val="21"/>
              </w:rPr>
            </w:pPr>
          </w:p>
        </w:tc>
      </w:tr>
      <w:tr w14:paraId="3C23B4FB">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07E3091D">
            <w:pPr>
              <w:rPr>
                <w:color w:val="000000"/>
                <w:szCs w:val="21"/>
              </w:rPr>
            </w:pPr>
          </w:p>
        </w:tc>
      </w:tr>
      <w:tr w14:paraId="74972E5A">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663CBABA">
            <w:pPr>
              <w:rPr>
                <w:color w:val="000000"/>
                <w:szCs w:val="21"/>
              </w:rPr>
            </w:pPr>
          </w:p>
        </w:tc>
      </w:tr>
      <w:tr w14:paraId="71FFBA75">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DE3A00D">
            <w:pPr>
              <w:rPr>
                <w:color w:val="000000"/>
                <w:szCs w:val="21"/>
              </w:rPr>
            </w:pPr>
          </w:p>
        </w:tc>
      </w:tr>
      <w:tr w14:paraId="2D35337A">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16C0E8E3">
            <w:pPr>
              <w:rPr>
                <w:color w:val="000000"/>
                <w:szCs w:val="21"/>
              </w:rPr>
            </w:pPr>
          </w:p>
        </w:tc>
      </w:tr>
      <w:tr w14:paraId="4E9DFCC8">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407D8CE">
            <w:pPr>
              <w:rPr>
                <w:color w:val="000000"/>
                <w:szCs w:val="21"/>
              </w:rPr>
            </w:pPr>
          </w:p>
        </w:tc>
      </w:tr>
      <w:tr w14:paraId="16AA8062">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8C4D353">
            <w:pPr>
              <w:rPr>
                <w:color w:val="000000"/>
                <w:szCs w:val="21"/>
              </w:rPr>
            </w:pPr>
          </w:p>
        </w:tc>
      </w:tr>
      <w:tr w14:paraId="726FEB10">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1A92A52">
            <w:pPr>
              <w:rPr>
                <w:color w:val="000000"/>
                <w:szCs w:val="21"/>
              </w:rPr>
            </w:pPr>
          </w:p>
        </w:tc>
      </w:tr>
      <w:tr w14:paraId="4D5FB1FE">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40857573">
            <w:pPr>
              <w:rPr>
                <w:color w:val="000000"/>
                <w:szCs w:val="21"/>
              </w:rPr>
            </w:pPr>
          </w:p>
        </w:tc>
      </w:tr>
      <w:tr w14:paraId="6E123669">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10F98339">
            <w:pPr>
              <w:rPr>
                <w:color w:val="000000"/>
                <w:szCs w:val="21"/>
              </w:rPr>
            </w:pPr>
          </w:p>
        </w:tc>
      </w:tr>
      <w:tr w14:paraId="6320661C">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62749CED">
            <w:pPr>
              <w:rPr>
                <w:color w:val="000000"/>
                <w:szCs w:val="21"/>
              </w:rPr>
            </w:pPr>
          </w:p>
        </w:tc>
      </w:tr>
      <w:tr w14:paraId="051E6C4D">
        <w:tblPrEx>
          <w:tblCellMar>
            <w:top w:w="0" w:type="dxa"/>
            <w:left w:w="108" w:type="dxa"/>
            <w:bottom w:w="0" w:type="dxa"/>
            <w:right w:w="108" w:type="dxa"/>
          </w:tblCellMar>
        </w:tblPrEx>
        <w:trPr>
          <w:trHeight w:val="312" w:hRule="atLeast"/>
        </w:trPr>
        <w:tc>
          <w:tcPr>
            <w:tcW w:w="9435"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C54CC94">
            <w:pPr>
              <w:rPr>
                <w:color w:val="000000"/>
                <w:szCs w:val="21"/>
              </w:rPr>
            </w:pPr>
          </w:p>
        </w:tc>
      </w:tr>
      <w:tr w14:paraId="177969AA">
        <w:tblPrEx>
          <w:tblCellMar>
            <w:top w:w="0" w:type="dxa"/>
            <w:left w:w="108" w:type="dxa"/>
            <w:bottom w:w="0" w:type="dxa"/>
            <w:right w:w="108" w:type="dxa"/>
          </w:tblCellMar>
        </w:tblPrEx>
        <w:trPr>
          <w:trHeight w:val="312" w:hRule="atLeast"/>
        </w:trPr>
        <w:tc>
          <w:tcPr>
            <w:tcW w:w="1773" w:type="dxa"/>
            <w:gridSpan w:val="2"/>
            <w:vMerge w:val="restart"/>
            <w:tcBorders>
              <w:top w:val="single" w:color="000000" w:sz="8" w:space="0"/>
              <w:left w:val="single" w:color="auto" w:sz="8" w:space="0"/>
              <w:bottom w:val="single" w:color="000000" w:sz="8" w:space="0"/>
              <w:right w:val="single" w:color="000000" w:sz="8" w:space="0"/>
            </w:tcBorders>
            <w:noWrap/>
            <w:vAlign w:val="center"/>
          </w:tcPr>
          <w:p w14:paraId="54AF4FF7">
            <w:pPr>
              <w:jc w:val="center"/>
              <w:rPr>
                <w:color w:val="000000"/>
                <w:szCs w:val="21"/>
              </w:rPr>
            </w:pPr>
            <w:r>
              <w:rPr>
                <w:rFonts w:hint="eastAsia"/>
                <w:color w:val="000000"/>
                <w:szCs w:val="21"/>
              </w:rPr>
              <w:t>资格审查人员</w:t>
            </w:r>
          </w:p>
        </w:tc>
        <w:tc>
          <w:tcPr>
            <w:tcW w:w="7662" w:type="dxa"/>
            <w:gridSpan w:val="6"/>
            <w:vMerge w:val="restart"/>
            <w:tcBorders>
              <w:top w:val="single" w:color="000000" w:sz="8" w:space="0"/>
              <w:left w:val="single" w:color="auto" w:sz="8" w:space="0"/>
              <w:bottom w:val="single" w:color="000000" w:sz="8" w:space="0"/>
              <w:right w:val="single" w:color="000000" w:sz="8" w:space="0"/>
            </w:tcBorders>
            <w:noWrap/>
            <w:vAlign w:val="center"/>
          </w:tcPr>
          <w:p w14:paraId="577A303E">
            <w:pPr>
              <w:jc w:val="center"/>
              <w:rPr>
                <w:color w:val="000000"/>
                <w:szCs w:val="21"/>
              </w:rPr>
            </w:pPr>
            <w:r>
              <w:rPr>
                <w:rFonts w:hint="eastAsia"/>
                <w:color w:val="000000"/>
                <w:szCs w:val="21"/>
              </w:rPr>
              <w:t>　</w:t>
            </w:r>
          </w:p>
        </w:tc>
      </w:tr>
      <w:tr w14:paraId="794E7199">
        <w:tblPrEx>
          <w:tblCellMar>
            <w:top w:w="0" w:type="dxa"/>
            <w:left w:w="108" w:type="dxa"/>
            <w:bottom w:w="0" w:type="dxa"/>
            <w:right w:w="108" w:type="dxa"/>
          </w:tblCellMar>
        </w:tblPrEx>
        <w:trPr>
          <w:trHeight w:val="312" w:hRule="atLeast"/>
        </w:trPr>
        <w:tc>
          <w:tcPr>
            <w:tcW w:w="177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3ED7B565">
            <w:pPr>
              <w:rPr>
                <w:color w:val="000000"/>
                <w:szCs w:val="21"/>
              </w:rPr>
            </w:pPr>
          </w:p>
        </w:tc>
        <w:tc>
          <w:tcPr>
            <w:tcW w:w="7662"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2FBA8EE4">
            <w:pPr>
              <w:rPr>
                <w:color w:val="000000"/>
                <w:szCs w:val="21"/>
              </w:rPr>
            </w:pPr>
          </w:p>
        </w:tc>
      </w:tr>
      <w:tr w14:paraId="34A17AD4">
        <w:tblPrEx>
          <w:tblCellMar>
            <w:top w:w="0" w:type="dxa"/>
            <w:left w:w="108" w:type="dxa"/>
            <w:bottom w:w="0" w:type="dxa"/>
            <w:right w:w="108" w:type="dxa"/>
          </w:tblCellMar>
        </w:tblPrEx>
        <w:trPr>
          <w:trHeight w:val="312" w:hRule="atLeast"/>
        </w:trPr>
        <w:tc>
          <w:tcPr>
            <w:tcW w:w="177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4D533A03">
            <w:pPr>
              <w:rPr>
                <w:color w:val="000000"/>
                <w:szCs w:val="21"/>
              </w:rPr>
            </w:pPr>
          </w:p>
        </w:tc>
        <w:tc>
          <w:tcPr>
            <w:tcW w:w="7662"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7E2B81A3">
            <w:pPr>
              <w:rPr>
                <w:color w:val="000000"/>
                <w:szCs w:val="21"/>
              </w:rPr>
            </w:pPr>
          </w:p>
        </w:tc>
      </w:tr>
      <w:tr w14:paraId="4AAC546F">
        <w:tblPrEx>
          <w:tblCellMar>
            <w:top w:w="0" w:type="dxa"/>
            <w:left w:w="108" w:type="dxa"/>
            <w:bottom w:w="0" w:type="dxa"/>
            <w:right w:w="108" w:type="dxa"/>
          </w:tblCellMar>
        </w:tblPrEx>
        <w:trPr>
          <w:trHeight w:val="312" w:hRule="atLeast"/>
        </w:trPr>
        <w:tc>
          <w:tcPr>
            <w:tcW w:w="177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4E89FFDF">
            <w:pPr>
              <w:rPr>
                <w:color w:val="000000"/>
                <w:szCs w:val="21"/>
              </w:rPr>
            </w:pPr>
          </w:p>
        </w:tc>
        <w:tc>
          <w:tcPr>
            <w:tcW w:w="7662"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24E57C13">
            <w:pPr>
              <w:rPr>
                <w:color w:val="000000"/>
                <w:szCs w:val="21"/>
              </w:rPr>
            </w:pPr>
          </w:p>
        </w:tc>
      </w:tr>
      <w:tr w14:paraId="3A358DBD">
        <w:tblPrEx>
          <w:tblCellMar>
            <w:top w:w="0" w:type="dxa"/>
            <w:left w:w="108" w:type="dxa"/>
            <w:bottom w:w="0" w:type="dxa"/>
            <w:right w:w="108" w:type="dxa"/>
          </w:tblCellMar>
        </w:tblPrEx>
        <w:trPr>
          <w:trHeight w:val="312" w:hRule="atLeast"/>
        </w:trPr>
        <w:tc>
          <w:tcPr>
            <w:tcW w:w="1773" w:type="dxa"/>
            <w:gridSpan w:val="2"/>
            <w:vMerge w:val="continue"/>
            <w:tcBorders>
              <w:top w:val="single" w:color="000000" w:sz="8" w:space="0"/>
              <w:left w:val="single" w:color="auto" w:sz="8" w:space="0"/>
              <w:bottom w:val="single" w:color="auto" w:sz="4" w:space="0"/>
              <w:right w:val="single" w:color="000000" w:sz="8" w:space="0"/>
            </w:tcBorders>
            <w:noWrap w:val="0"/>
            <w:vAlign w:val="center"/>
          </w:tcPr>
          <w:p w14:paraId="75E9B842">
            <w:pPr>
              <w:rPr>
                <w:color w:val="000000"/>
                <w:szCs w:val="21"/>
              </w:rPr>
            </w:pPr>
          </w:p>
        </w:tc>
        <w:tc>
          <w:tcPr>
            <w:tcW w:w="7662" w:type="dxa"/>
            <w:gridSpan w:val="6"/>
            <w:vMerge w:val="continue"/>
            <w:tcBorders>
              <w:top w:val="single" w:color="000000" w:sz="8" w:space="0"/>
              <w:left w:val="single" w:color="auto" w:sz="8" w:space="0"/>
              <w:bottom w:val="single" w:color="auto" w:sz="4" w:space="0"/>
              <w:right w:val="single" w:color="000000" w:sz="8" w:space="0"/>
            </w:tcBorders>
            <w:noWrap w:val="0"/>
            <w:vAlign w:val="center"/>
          </w:tcPr>
          <w:p w14:paraId="3F3E125F">
            <w:pPr>
              <w:rPr>
                <w:color w:val="000000"/>
                <w:szCs w:val="21"/>
              </w:rPr>
            </w:pPr>
          </w:p>
        </w:tc>
      </w:tr>
      <w:tr w14:paraId="4A3F3CB1">
        <w:tblPrEx>
          <w:tblCellMar>
            <w:top w:w="0" w:type="dxa"/>
            <w:left w:w="108" w:type="dxa"/>
            <w:bottom w:w="0" w:type="dxa"/>
            <w:right w:w="108" w:type="dxa"/>
          </w:tblCellMar>
        </w:tblPrEx>
        <w:trPr>
          <w:trHeight w:val="558" w:hRule="atLeast"/>
        </w:trPr>
        <w:tc>
          <w:tcPr>
            <w:tcW w:w="1773" w:type="dxa"/>
            <w:gridSpan w:val="2"/>
            <w:tcBorders>
              <w:top w:val="single" w:color="auto" w:sz="4" w:space="0"/>
              <w:left w:val="single" w:color="auto" w:sz="4" w:space="0"/>
              <w:bottom w:val="single" w:color="auto" w:sz="4" w:space="0"/>
              <w:right w:val="single" w:color="auto" w:sz="4" w:space="0"/>
            </w:tcBorders>
            <w:noWrap w:val="0"/>
            <w:vAlign w:val="center"/>
          </w:tcPr>
          <w:p w14:paraId="433C9934">
            <w:pPr>
              <w:jc w:val="center"/>
              <w:rPr>
                <w:color w:val="000000"/>
                <w:szCs w:val="21"/>
              </w:rPr>
            </w:pPr>
            <w:r>
              <w:rPr>
                <w:rFonts w:hint="eastAsia"/>
                <w:color w:val="000000"/>
                <w:sz w:val="22"/>
                <w:lang w:val="en-US" w:eastAsia="zh-CN"/>
              </w:rPr>
              <w:t>工作人</w:t>
            </w:r>
            <w:r>
              <w:rPr>
                <w:rFonts w:hint="eastAsia"/>
                <w:color w:val="000000"/>
                <w:sz w:val="22"/>
              </w:rPr>
              <w:t>员</w:t>
            </w:r>
          </w:p>
        </w:tc>
        <w:tc>
          <w:tcPr>
            <w:tcW w:w="7662" w:type="dxa"/>
            <w:gridSpan w:val="6"/>
            <w:tcBorders>
              <w:top w:val="single" w:color="auto" w:sz="4" w:space="0"/>
              <w:left w:val="single" w:color="auto" w:sz="4" w:space="0"/>
              <w:bottom w:val="single" w:color="auto" w:sz="4" w:space="0"/>
              <w:right w:val="single" w:color="auto" w:sz="4" w:space="0"/>
            </w:tcBorders>
            <w:noWrap w:val="0"/>
            <w:vAlign w:val="center"/>
          </w:tcPr>
          <w:p w14:paraId="7CA39B8E">
            <w:pPr>
              <w:rPr>
                <w:color w:val="000000"/>
                <w:szCs w:val="21"/>
              </w:rPr>
            </w:pPr>
            <w:r>
              <w:rPr>
                <w:rFonts w:hint="eastAsia"/>
                <w:color w:val="000000"/>
                <w:sz w:val="22"/>
              </w:rPr>
              <w:t>　</w:t>
            </w:r>
          </w:p>
        </w:tc>
      </w:tr>
    </w:tbl>
    <w:p w14:paraId="426F571F">
      <w:pPr>
        <w:pStyle w:val="30"/>
        <w:numPr>
          <w:ilvl w:val="0"/>
          <w:numId w:val="1"/>
        </w:numPr>
        <w:tabs>
          <w:tab w:val="clear" w:pos="312"/>
        </w:tabs>
        <w:rPr>
          <w:rFonts w:hint="eastAsia"/>
        </w:rPr>
      </w:pPr>
      <w:bookmarkStart w:id="192" w:name="_Toc508871724"/>
      <w:bookmarkStart w:id="193" w:name="_Hlk106528969"/>
      <w:r>
        <w:rPr>
          <w:rFonts w:hint="eastAsia"/>
        </w:rPr>
        <w:t>商务评分表</w:t>
      </w:r>
      <w:bookmarkEnd w:id="192"/>
    </w:p>
    <w:tbl>
      <w:tblPr>
        <w:tblStyle w:val="14"/>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861"/>
        <w:gridCol w:w="820"/>
        <w:gridCol w:w="4190"/>
        <w:gridCol w:w="2050"/>
      </w:tblGrid>
      <w:tr w14:paraId="7374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016770E4">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861" w:type="dxa"/>
            <w:vAlign w:val="center"/>
          </w:tcPr>
          <w:p w14:paraId="552819F8">
            <w:pPr>
              <w:jc w:val="center"/>
              <w:rPr>
                <w:rFonts w:hint="default"/>
                <w:sz w:val="24"/>
                <w:szCs w:val="24"/>
                <w:vertAlign w:val="baseline"/>
                <w:lang w:val="en-US" w:eastAsia="zh-CN"/>
              </w:rPr>
            </w:pPr>
            <w:r>
              <w:rPr>
                <w:rFonts w:hint="eastAsia"/>
                <w:sz w:val="24"/>
                <w:szCs w:val="24"/>
                <w:vertAlign w:val="baseline"/>
                <w:lang w:val="en-US" w:eastAsia="zh-CN"/>
              </w:rPr>
              <w:t>评价移速及权重</w:t>
            </w:r>
          </w:p>
        </w:tc>
        <w:tc>
          <w:tcPr>
            <w:tcW w:w="820" w:type="dxa"/>
            <w:vAlign w:val="center"/>
          </w:tcPr>
          <w:p w14:paraId="142390C3">
            <w:pPr>
              <w:jc w:val="center"/>
              <w:rPr>
                <w:rFonts w:hint="default"/>
                <w:sz w:val="24"/>
                <w:szCs w:val="24"/>
                <w:vertAlign w:val="baseline"/>
                <w:lang w:val="en-US" w:eastAsia="zh-CN"/>
              </w:rPr>
            </w:pPr>
            <w:r>
              <w:rPr>
                <w:rFonts w:hint="eastAsia"/>
                <w:sz w:val="24"/>
                <w:szCs w:val="24"/>
                <w:vertAlign w:val="baseline"/>
                <w:lang w:val="en-US" w:eastAsia="zh-CN"/>
              </w:rPr>
              <w:t>分值</w:t>
            </w:r>
          </w:p>
        </w:tc>
        <w:tc>
          <w:tcPr>
            <w:tcW w:w="4190" w:type="dxa"/>
            <w:vAlign w:val="center"/>
          </w:tcPr>
          <w:p w14:paraId="42E6C2EB">
            <w:pPr>
              <w:jc w:val="center"/>
              <w:rPr>
                <w:rFonts w:hint="default"/>
                <w:sz w:val="24"/>
                <w:szCs w:val="24"/>
                <w:vertAlign w:val="baseline"/>
                <w:lang w:val="en-US" w:eastAsia="zh-CN"/>
              </w:rPr>
            </w:pPr>
            <w:r>
              <w:rPr>
                <w:rFonts w:hint="eastAsia"/>
                <w:sz w:val="24"/>
                <w:szCs w:val="24"/>
                <w:vertAlign w:val="baseline"/>
                <w:lang w:val="en-US" w:eastAsia="zh-CN"/>
              </w:rPr>
              <w:t>评分标准</w:t>
            </w:r>
          </w:p>
        </w:tc>
        <w:tc>
          <w:tcPr>
            <w:tcW w:w="2050" w:type="dxa"/>
            <w:vAlign w:val="center"/>
          </w:tcPr>
          <w:p w14:paraId="50171D06">
            <w:pPr>
              <w:jc w:val="center"/>
              <w:rPr>
                <w:rFonts w:hint="default"/>
                <w:sz w:val="24"/>
                <w:szCs w:val="24"/>
                <w:vertAlign w:val="baseline"/>
                <w:lang w:val="en-US" w:eastAsia="zh-CN"/>
              </w:rPr>
            </w:pPr>
            <w:r>
              <w:rPr>
                <w:rFonts w:hint="eastAsia"/>
                <w:sz w:val="24"/>
                <w:szCs w:val="24"/>
                <w:vertAlign w:val="baseline"/>
                <w:lang w:val="en-US" w:eastAsia="zh-CN"/>
              </w:rPr>
              <w:t>备注</w:t>
            </w:r>
          </w:p>
        </w:tc>
      </w:tr>
      <w:tr w14:paraId="4D33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39B1D64C">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861" w:type="dxa"/>
            <w:vAlign w:val="center"/>
          </w:tcPr>
          <w:p w14:paraId="5C1F8A76">
            <w:pPr>
              <w:jc w:val="center"/>
              <w:rPr>
                <w:rFonts w:hint="default"/>
                <w:sz w:val="24"/>
                <w:szCs w:val="24"/>
                <w:vertAlign w:val="baseline"/>
                <w:lang w:val="en-US" w:eastAsia="zh-CN"/>
              </w:rPr>
            </w:pPr>
            <w:r>
              <w:rPr>
                <w:rFonts w:hint="eastAsia"/>
                <w:sz w:val="24"/>
                <w:szCs w:val="24"/>
                <w:vertAlign w:val="baseline"/>
                <w:lang w:val="en-US" w:eastAsia="zh-CN"/>
              </w:rPr>
              <w:t>投标文件规范性（10%）</w:t>
            </w:r>
          </w:p>
        </w:tc>
        <w:tc>
          <w:tcPr>
            <w:tcW w:w="820" w:type="dxa"/>
            <w:vAlign w:val="center"/>
          </w:tcPr>
          <w:p w14:paraId="230167EE">
            <w:pPr>
              <w:jc w:val="center"/>
              <w:rPr>
                <w:rFonts w:hint="default"/>
                <w:sz w:val="24"/>
                <w:szCs w:val="24"/>
                <w:vertAlign w:val="baseline"/>
                <w:lang w:val="en-US" w:eastAsia="zh-CN"/>
              </w:rPr>
            </w:pPr>
            <w:r>
              <w:rPr>
                <w:rFonts w:hint="eastAsia"/>
                <w:sz w:val="24"/>
                <w:szCs w:val="24"/>
                <w:vertAlign w:val="baseline"/>
                <w:lang w:val="en-US" w:eastAsia="zh-CN"/>
              </w:rPr>
              <w:t>10</w:t>
            </w:r>
          </w:p>
        </w:tc>
        <w:tc>
          <w:tcPr>
            <w:tcW w:w="4190" w:type="dxa"/>
            <w:vAlign w:val="center"/>
          </w:tcPr>
          <w:p w14:paraId="7253B076">
            <w:pPr>
              <w:jc w:val="center"/>
              <w:rPr>
                <w:rFonts w:hint="default"/>
                <w:sz w:val="24"/>
                <w:szCs w:val="24"/>
                <w:vertAlign w:val="baseline"/>
                <w:lang w:val="en-US" w:eastAsia="zh-CN"/>
              </w:rPr>
            </w:pPr>
            <w:r>
              <w:rPr>
                <w:rFonts w:hint="eastAsia"/>
                <w:sz w:val="24"/>
                <w:szCs w:val="24"/>
                <w:vertAlign w:val="baseline"/>
                <w:lang w:val="en-US" w:eastAsia="zh-CN"/>
              </w:rPr>
              <w:t>投标文件规范，资质文件齐全得10分，投标制作不规范扣5分，资质不全扣5分。</w:t>
            </w:r>
          </w:p>
        </w:tc>
        <w:tc>
          <w:tcPr>
            <w:tcW w:w="2050" w:type="dxa"/>
            <w:vAlign w:val="center"/>
          </w:tcPr>
          <w:p w14:paraId="43BFFD94">
            <w:pPr>
              <w:jc w:val="center"/>
              <w:rPr>
                <w:rFonts w:hint="eastAsia"/>
                <w:sz w:val="24"/>
                <w:szCs w:val="24"/>
                <w:vertAlign w:val="baseline"/>
                <w:lang w:val="en-US" w:eastAsia="zh-CN"/>
              </w:rPr>
            </w:pPr>
          </w:p>
        </w:tc>
      </w:tr>
      <w:tr w14:paraId="771C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7ACF61B6">
            <w:pPr>
              <w:jc w:val="cente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2</w:t>
            </w:r>
          </w:p>
        </w:tc>
        <w:tc>
          <w:tcPr>
            <w:tcW w:w="1861" w:type="dxa"/>
            <w:vAlign w:val="center"/>
          </w:tcPr>
          <w:p w14:paraId="6B56949D">
            <w:pPr>
              <w:jc w:val="center"/>
              <w:rPr>
                <w:rFonts w:hint="default"/>
                <w:sz w:val="24"/>
                <w:szCs w:val="24"/>
                <w:vertAlign w:val="baseline"/>
                <w:lang w:val="en-US" w:eastAsia="zh-CN"/>
              </w:rPr>
            </w:pPr>
            <w:r>
              <w:rPr>
                <w:rFonts w:hint="eastAsia"/>
                <w:sz w:val="24"/>
                <w:szCs w:val="24"/>
                <w:vertAlign w:val="baseline"/>
                <w:lang w:val="en-US" w:eastAsia="zh-CN"/>
              </w:rPr>
              <w:t>履历（10%）</w:t>
            </w:r>
          </w:p>
        </w:tc>
        <w:tc>
          <w:tcPr>
            <w:tcW w:w="820" w:type="dxa"/>
            <w:vAlign w:val="center"/>
          </w:tcPr>
          <w:p w14:paraId="6C87A6AE">
            <w:pPr>
              <w:jc w:val="center"/>
              <w:rPr>
                <w:rFonts w:hint="default"/>
                <w:sz w:val="24"/>
                <w:szCs w:val="24"/>
                <w:vertAlign w:val="baseline"/>
                <w:lang w:val="en-US" w:eastAsia="zh-CN"/>
              </w:rPr>
            </w:pPr>
            <w:r>
              <w:rPr>
                <w:rFonts w:hint="eastAsia"/>
                <w:sz w:val="24"/>
                <w:szCs w:val="24"/>
                <w:vertAlign w:val="baseline"/>
                <w:lang w:val="en-US" w:eastAsia="zh-CN"/>
              </w:rPr>
              <w:t>10</w:t>
            </w:r>
          </w:p>
        </w:tc>
        <w:tc>
          <w:tcPr>
            <w:tcW w:w="4190" w:type="dxa"/>
            <w:vAlign w:val="center"/>
          </w:tcPr>
          <w:p w14:paraId="4415FA2F">
            <w:pPr>
              <w:jc w:val="center"/>
              <w:rPr>
                <w:rFonts w:hint="default"/>
                <w:sz w:val="24"/>
                <w:szCs w:val="24"/>
                <w:vertAlign w:val="baseline"/>
                <w:lang w:val="en-US" w:eastAsia="zh-CN"/>
              </w:rPr>
            </w:pPr>
            <w:r>
              <w:rPr>
                <w:rFonts w:hint="eastAsia"/>
                <w:sz w:val="24"/>
                <w:szCs w:val="24"/>
                <w:vertAlign w:val="baseline"/>
                <w:lang w:val="en-US" w:eastAsia="zh-CN"/>
              </w:rPr>
              <w:t>有筛分经验加10分，无筛分经验得0分。</w:t>
            </w:r>
          </w:p>
        </w:tc>
        <w:tc>
          <w:tcPr>
            <w:tcW w:w="2050" w:type="dxa"/>
            <w:vAlign w:val="center"/>
          </w:tcPr>
          <w:p w14:paraId="7C0F591F">
            <w:pPr>
              <w:jc w:val="center"/>
              <w:rPr>
                <w:rFonts w:hint="eastAsia"/>
                <w:sz w:val="24"/>
                <w:szCs w:val="24"/>
                <w:vertAlign w:val="baseline"/>
                <w:lang w:val="en-US" w:eastAsia="zh-CN"/>
              </w:rPr>
            </w:pPr>
          </w:p>
        </w:tc>
      </w:tr>
      <w:tr w14:paraId="1ECF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2C5BFEF7">
            <w:pPr>
              <w:jc w:val="center"/>
              <w:rPr>
                <w:rFonts w:hint="default"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3</w:t>
            </w:r>
          </w:p>
        </w:tc>
        <w:tc>
          <w:tcPr>
            <w:tcW w:w="1861" w:type="dxa"/>
            <w:vAlign w:val="center"/>
          </w:tcPr>
          <w:p w14:paraId="4131FBFA">
            <w:pPr>
              <w:jc w:val="center"/>
              <w:rPr>
                <w:rFonts w:hint="default"/>
                <w:sz w:val="24"/>
                <w:szCs w:val="24"/>
                <w:vertAlign w:val="baseline"/>
                <w:lang w:val="en-US" w:eastAsia="zh-CN"/>
              </w:rPr>
            </w:pPr>
            <w:r>
              <w:rPr>
                <w:rFonts w:hint="eastAsia"/>
                <w:sz w:val="24"/>
                <w:szCs w:val="24"/>
                <w:vertAlign w:val="baseline"/>
                <w:lang w:val="en-US" w:eastAsia="zh-CN"/>
              </w:rPr>
              <w:t>报价（80%）</w:t>
            </w:r>
          </w:p>
        </w:tc>
        <w:tc>
          <w:tcPr>
            <w:tcW w:w="820" w:type="dxa"/>
            <w:vAlign w:val="center"/>
          </w:tcPr>
          <w:p w14:paraId="3D1B36DB">
            <w:pPr>
              <w:jc w:val="center"/>
              <w:rPr>
                <w:rFonts w:hint="default"/>
                <w:sz w:val="24"/>
                <w:szCs w:val="24"/>
                <w:vertAlign w:val="baseline"/>
                <w:lang w:val="en-US" w:eastAsia="zh-CN"/>
              </w:rPr>
            </w:pPr>
            <w:r>
              <w:rPr>
                <w:rFonts w:hint="eastAsia"/>
                <w:sz w:val="24"/>
                <w:szCs w:val="24"/>
                <w:vertAlign w:val="baseline"/>
                <w:lang w:val="en-US" w:eastAsia="zh-CN"/>
              </w:rPr>
              <w:t>80</w:t>
            </w:r>
          </w:p>
        </w:tc>
        <w:tc>
          <w:tcPr>
            <w:tcW w:w="4190" w:type="dxa"/>
            <w:vAlign w:val="center"/>
          </w:tcPr>
          <w:p w14:paraId="0A80BE80">
            <w:pPr>
              <w:jc w:val="center"/>
              <w:rPr>
                <w:rFonts w:hint="eastAsia"/>
                <w:sz w:val="24"/>
                <w:szCs w:val="24"/>
                <w:vertAlign w:val="baseline"/>
                <w:lang w:val="en-US" w:eastAsia="zh-CN"/>
              </w:rPr>
            </w:pPr>
            <w:r>
              <w:rPr>
                <w:rFonts w:hint="eastAsia"/>
                <w:sz w:val="24"/>
                <w:szCs w:val="24"/>
                <w:vertAlign w:val="baseline"/>
                <w:lang w:val="en-US" w:eastAsia="zh-CN"/>
              </w:rPr>
              <w:t>报价得分=（评审基准价/供应商报价）*80</w:t>
            </w:r>
          </w:p>
          <w:p w14:paraId="1F6FDC21">
            <w:pPr>
              <w:jc w:val="both"/>
              <w:rPr>
                <w:rFonts w:hint="default"/>
                <w:sz w:val="24"/>
                <w:szCs w:val="24"/>
                <w:vertAlign w:val="baseline"/>
                <w:lang w:val="en-US" w:eastAsia="zh-CN"/>
              </w:rPr>
            </w:pPr>
            <w:r>
              <w:rPr>
                <w:rFonts w:hint="default"/>
                <w:sz w:val="24"/>
                <w:szCs w:val="24"/>
                <w:vertAlign w:val="baseline"/>
                <w:lang w:val="en-US" w:eastAsia="zh-CN"/>
              </w:rPr>
              <w:t>注：评审基准价为最低有效供应商报价</w:t>
            </w:r>
          </w:p>
        </w:tc>
        <w:tc>
          <w:tcPr>
            <w:tcW w:w="2050" w:type="dxa"/>
            <w:vAlign w:val="center"/>
          </w:tcPr>
          <w:p w14:paraId="51A897A6">
            <w:pPr>
              <w:jc w:val="center"/>
              <w:rPr>
                <w:rFonts w:hint="eastAsia"/>
                <w:sz w:val="24"/>
                <w:szCs w:val="24"/>
                <w:vertAlign w:val="baseline"/>
                <w:lang w:val="en-US" w:eastAsia="zh-CN"/>
              </w:rPr>
            </w:pPr>
          </w:p>
        </w:tc>
      </w:tr>
      <w:tr w14:paraId="3964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46FE4EB3">
            <w:pPr>
              <w:jc w:val="center"/>
              <w:rPr>
                <w:rFonts w:hint="default" w:asciiTheme="minorHAnsi" w:hAnsiTheme="minorHAnsi" w:eastAsiaTheme="minorEastAsia" w:cstheme="minorBidi"/>
                <w:kern w:val="2"/>
                <w:sz w:val="24"/>
                <w:szCs w:val="24"/>
                <w:vertAlign w:val="baseline"/>
                <w:lang w:val="en-US" w:eastAsia="zh-CN" w:bidi="ar-SA"/>
              </w:rPr>
            </w:pPr>
          </w:p>
        </w:tc>
        <w:tc>
          <w:tcPr>
            <w:tcW w:w="1861" w:type="dxa"/>
            <w:vAlign w:val="center"/>
          </w:tcPr>
          <w:p w14:paraId="418F0109">
            <w:pPr>
              <w:jc w:val="center"/>
              <w:rPr>
                <w:rFonts w:hint="default"/>
                <w:sz w:val="24"/>
                <w:szCs w:val="24"/>
                <w:vertAlign w:val="baseline"/>
                <w:lang w:val="en-US" w:eastAsia="zh-CN"/>
              </w:rPr>
            </w:pPr>
            <w:r>
              <w:rPr>
                <w:rFonts w:hint="eastAsia"/>
                <w:sz w:val="24"/>
                <w:szCs w:val="24"/>
                <w:vertAlign w:val="baseline"/>
                <w:lang w:val="en-US" w:eastAsia="zh-CN"/>
              </w:rPr>
              <w:t>合计</w:t>
            </w:r>
          </w:p>
        </w:tc>
        <w:tc>
          <w:tcPr>
            <w:tcW w:w="820" w:type="dxa"/>
            <w:vAlign w:val="center"/>
          </w:tcPr>
          <w:p w14:paraId="0FD7DBF6">
            <w:pPr>
              <w:jc w:val="center"/>
              <w:rPr>
                <w:rFonts w:hint="eastAsia"/>
                <w:sz w:val="24"/>
                <w:szCs w:val="24"/>
                <w:vertAlign w:val="baseline"/>
                <w:lang w:val="en-US" w:eastAsia="zh-CN"/>
              </w:rPr>
            </w:pPr>
          </w:p>
        </w:tc>
        <w:tc>
          <w:tcPr>
            <w:tcW w:w="4190" w:type="dxa"/>
            <w:vAlign w:val="center"/>
          </w:tcPr>
          <w:p w14:paraId="45265C9F">
            <w:pPr>
              <w:jc w:val="center"/>
              <w:rPr>
                <w:rFonts w:hint="eastAsia"/>
                <w:sz w:val="24"/>
                <w:szCs w:val="24"/>
                <w:vertAlign w:val="baseline"/>
                <w:lang w:val="en-US" w:eastAsia="zh-CN"/>
              </w:rPr>
            </w:pPr>
          </w:p>
        </w:tc>
        <w:tc>
          <w:tcPr>
            <w:tcW w:w="2050" w:type="dxa"/>
            <w:vAlign w:val="center"/>
          </w:tcPr>
          <w:p w14:paraId="5B60AE82">
            <w:pPr>
              <w:jc w:val="center"/>
              <w:rPr>
                <w:rFonts w:hint="eastAsia"/>
                <w:sz w:val="24"/>
                <w:szCs w:val="24"/>
                <w:vertAlign w:val="baseline"/>
                <w:lang w:val="en-US" w:eastAsia="zh-CN"/>
              </w:rPr>
            </w:pPr>
          </w:p>
        </w:tc>
      </w:tr>
    </w:tbl>
    <w:p w14:paraId="7E3245B0">
      <w:pPr>
        <w:pStyle w:val="30"/>
        <w:numPr>
          <w:ilvl w:val="0"/>
          <w:numId w:val="0"/>
        </w:numPr>
        <w:ind w:leftChars="0"/>
        <w:jc w:val="both"/>
        <w:rPr>
          <w:rFonts w:hint="eastAsia"/>
        </w:rPr>
      </w:pPr>
    </w:p>
    <w:bookmarkEnd w:id="193"/>
    <w:p w14:paraId="0E2475A6">
      <w:pPr>
        <w:pStyle w:val="29"/>
        <w:widowControl/>
        <w:spacing w:beforeLines="0" w:line="300" w:lineRule="auto"/>
        <w:ind w:left="1079" w:leftChars="514" w:firstLine="663" w:firstLineChars="150"/>
        <w:jc w:val="both"/>
        <w:rPr>
          <w:color w:val="000000"/>
          <w:kern w:val="0"/>
          <w:szCs w:val="21"/>
        </w:rPr>
      </w:pPr>
    </w:p>
    <w:p w14:paraId="2C42B176">
      <w:pPr>
        <w:pStyle w:val="29"/>
        <w:widowControl/>
        <w:spacing w:beforeLines="0" w:line="300" w:lineRule="auto"/>
        <w:jc w:val="both"/>
        <w:rPr>
          <w:color w:val="000000"/>
        </w:rPr>
      </w:pPr>
      <w:r>
        <w:rPr>
          <w:color w:val="000000"/>
          <w:kern w:val="0"/>
          <w:szCs w:val="21"/>
        </w:rPr>
        <w:t>第四章</w:t>
      </w:r>
      <w:r>
        <w:rPr>
          <w:color w:val="000000"/>
        </w:rPr>
        <w:t xml:space="preserve">  合同条款及格式</w:t>
      </w:r>
      <w:bookmarkEnd w:id="8"/>
      <w:bookmarkEnd w:id="9"/>
      <w:bookmarkEnd w:id="10"/>
      <w:bookmarkStart w:id="194" w:name="_Toc312072314"/>
      <w:bookmarkStart w:id="195" w:name="_Toc184635124"/>
    </w:p>
    <w:bookmarkEnd w:id="194"/>
    <w:bookmarkEnd w:id="195"/>
    <w:p w14:paraId="25078A2F">
      <w:pPr>
        <w:spacing w:beforeLines="150" w:afterLines="150"/>
        <w:ind w:firstLine="2088" w:firstLineChars="400"/>
        <w:rPr>
          <w:rFonts w:ascii="黑体" w:eastAsia="黑体"/>
          <w:b/>
          <w:sz w:val="52"/>
          <w:szCs w:val="52"/>
        </w:rPr>
      </w:pPr>
      <w:r>
        <w:rPr>
          <w:rFonts w:hint="eastAsia" w:ascii="黑体" w:eastAsia="黑体"/>
          <w:b/>
          <w:sz w:val="52"/>
          <w:szCs w:val="52"/>
        </w:rPr>
        <w:t>承   揽</w:t>
      </w:r>
      <w:r>
        <w:rPr>
          <w:rFonts w:ascii="黑体" w:eastAsia="黑体"/>
          <w:b/>
          <w:sz w:val="52"/>
          <w:szCs w:val="52"/>
        </w:rPr>
        <w:t xml:space="preserve">   </w:t>
      </w:r>
      <w:r>
        <w:rPr>
          <w:rFonts w:hint="eastAsia" w:ascii="黑体" w:eastAsia="黑体"/>
          <w:b/>
          <w:sz w:val="52"/>
          <w:szCs w:val="52"/>
        </w:rPr>
        <w:t>合</w:t>
      </w:r>
      <w:r>
        <w:rPr>
          <w:rFonts w:ascii="黑体" w:eastAsia="黑体"/>
          <w:b/>
          <w:sz w:val="52"/>
          <w:szCs w:val="52"/>
        </w:rPr>
        <w:t xml:space="preserve">   </w:t>
      </w:r>
      <w:r>
        <w:rPr>
          <w:rFonts w:hint="eastAsia" w:ascii="黑体" w:eastAsia="黑体"/>
          <w:b/>
          <w:sz w:val="52"/>
          <w:szCs w:val="52"/>
        </w:rPr>
        <w:t>同</w:t>
      </w:r>
    </w:p>
    <w:p w14:paraId="42D09ABB">
      <w:pPr>
        <w:spacing w:beforeLines="150" w:afterLines="150"/>
        <w:ind w:firstLine="2204" w:firstLineChars="499"/>
        <w:rPr>
          <w:rFonts w:ascii="黑体" w:eastAsia="黑体"/>
          <w:b/>
          <w:sz w:val="44"/>
          <w:szCs w:val="44"/>
        </w:rPr>
      </w:pPr>
    </w:p>
    <w:p w14:paraId="014A1267">
      <w:pPr>
        <w:ind w:firstLine="3456" w:firstLineChars="1646"/>
      </w:pPr>
    </w:p>
    <w:p w14:paraId="2F88066D">
      <w:pPr>
        <w:ind w:firstLine="3456" w:firstLineChars="1646"/>
      </w:pPr>
    </w:p>
    <w:p w14:paraId="03D1779D">
      <w:pPr>
        <w:ind w:firstLine="3456" w:firstLineChars="1646"/>
      </w:pPr>
    </w:p>
    <w:p w14:paraId="3DCD60B5">
      <w:pPr>
        <w:ind w:firstLine="3456" w:firstLineChars="1646"/>
      </w:pPr>
    </w:p>
    <w:p w14:paraId="4DAB217F">
      <w:pPr>
        <w:ind w:firstLine="3456" w:firstLineChars="1646"/>
      </w:pPr>
    </w:p>
    <w:p w14:paraId="0D9BD6F0">
      <w:pPr>
        <w:ind w:firstLine="3456" w:firstLineChars="1646"/>
      </w:pPr>
    </w:p>
    <w:p w14:paraId="1209525E">
      <w:pPr>
        <w:ind w:firstLine="3456" w:firstLineChars="1646"/>
      </w:pPr>
    </w:p>
    <w:p w14:paraId="3B70D9B9">
      <w:pPr>
        <w:ind w:firstLine="3456" w:firstLineChars="1646"/>
      </w:pPr>
    </w:p>
    <w:p w14:paraId="672E6BE2">
      <w:pPr>
        <w:ind w:firstLine="3456" w:firstLineChars="1646"/>
      </w:pPr>
    </w:p>
    <w:p w14:paraId="74AFA257">
      <w:pPr>
        <w:ind w:firstLine="3456" w:firstLineChars="1646"/>
      </w:pPr>
    </w:p>
    <w:p w14:paraId="1B42A76B">
      <w:pPr>
        <w:pStyle w:val="9"/>
        <w:ind w:left="2239" w:leftChars="266" w:hanging="1680" w:hangingChars="600"/>
        <w:rPr>
          <w:rFonts w:eastAsia="黑体"/>
          <w:sz w:val="28"/>
          <w:szCs w:val="28"/>
        </w:rPr>
      </w:pPr>
      <w:r>
        <w:rPr>
          <w:rFonts w:hint="eastAsia" w:ascii="黑体" w:hAnsi="宋体" w:eastAsia="黑体" w:cs="宋体"/>
          <w:sz w:val="28"/>
          <w:szCs w:val="28"/>
        </w:rPr>
        <w:t>项  目</w:t>
      </w:r>
      <w:r>
        <w:rPr>
          <w:rFonts w:ascii="黑体" w:hAnsi="宋体" w:eastAsia="黑体" w:cs="宋体"/>
          <w:sz w:val="28"/>
          <w:szCs w:val="28"/>
        </w:rPr>
        <w:t xml:space="preserve">  </w:t>
      </w:r>
      <w:r>
        <w:rPr>
          <w:rFonts w:hint="eastAsia" w:ascii="黑体" w:hAnsi="宋体" w:eastAsia="黑体" w:cs="宋体"/>
          <w:sz w:val="28"/>
          <w:szCs w:val="28"/>
        </w:rPr>
        <w:t>名</w:t>
      </w:r>
      <w:r>
        <w:rPr>
          <w:rFonts w:ascii="黑体" w:hAnsi="宋体" w:eastAsia="黑体" w:cs="宋体"/>
          <w:sz w:val="28"/>
          <w:szCs w:val="28"/>
        </w:rPr>
        <w:t xml:space="preserve">  </w:t>
      </w:r>
      <w:r>
        <w:rPr>
          <w:rFonts w:hint="eastAsia" w:ascii="黑体" w:hAnsi="宋体" w:eastAsia="黑体" w:cs="宋体"/>
          <w:sz w:val="28"/>
          <w:szCs w:val="28"/>
        </w:rPr>
        <w:t>称：</w:t>
      </w:r>
      <w:r>
        <w:rPr>
          <w:rFonts w:hint="eastAsia" w:ascii="黑体" w:hAnsi="仿宋" w:eastAsia="黑体"/>
          <w:sz w:val="28"/>
          <w:szCs w:val="28"/>
        </w:rPr>
        <w:t>委托二次筛分</w:t>
      </w:r>
      <w:r>
        <w:rPr>
          <w:rFonts w:hint="eastAsia" w:ascii="黑体" w:hAnsi="仿宋" w:eastAsia="黑体"/>
          <w:sz w:val="28"/>
          <w:szCs w:val="28"/>
          <w:lang w:eastAsia="zh-CN"/>
        </w:rPr>
        <w:t>1-3</w:t>
      </w:r>
      <w:r>
        <w:rPr>
          <w:rFonts w:hint="eastAsia" w:ascii="黑体" w:hAnsi="仿宋" w:eastAsia="黑体"/>
          <w:sz w:val="28"/>
          <w:szCs w:val="28"/>
          <w:lang w:val="en-US" w:eastAsia="zh-CN"/>
        </w:rPr>
        <w:t>石</w:t>
      </w:r>
      <w:r>
        <w:rPr>
          <w:rFonts w:hint="eastAsia" w:ascii="黑体" w:hAnsi="仿宋" w:eastAsia="黑体"/>
          <w:sz w:val="28"/>
          <w:szCs w:val="28"/>
        </w:rPr>
        <w:t>子</w:t>
      </w:r>
    </w:p>
    <w:p w14:paraId="5232D960">
      <w:pPr>
        <w:spacing w:line="360" w:lineRule="auto"/>
        <w:ind w:firstLine="560" w:firstLineChars="200"/>
        <w:rPr>
          <w:rFonts w:ascii="黑体" w:eastAsia="黑体"/>
          <w:sz w:val="28"/>
          <w:szCs w:val="28"/>
          <w:u w:val="single"/>
        </w:rPr>
      </w:pPr>
      <w:r>
        <w:rPr>
          <w:rFonts w:hint="eastAsia" w:ascii="黑体" w:eastAsia="黑体"/>
          <w:sz w:val="28"/>
          <w:szCs w:val="28"/>
        </w:rPr>
        <w:t>项  目</w:t>
      </w:r>
      <w:r>
        <w:rPr>
          <w:rFonts w:ascii="黑体" w:eastAsia="黑体"/>
          <w:sz w:val="28"/>
          <w:szCs w:val="28"/>
        </w:rPr>
        <w:t xml:space="preserve">  </w:t>
      </w:r>
      <w:r>
        <w:rPr>
          <w:rFonts w:hint="eastAsia" w:ascii="黑体" w:eastAsia="黑体"/>
          <w:sz w:val="28"/>
          <w:szCs w:val="28"/>
        </w:rPr>
        <w:t>地</w:t>
      </w:r>
      <w:r>
        <w:rPr>
          <w:rFonts w:ascii="黑体" w:eastAsia="黑体"/>
          <w:sz w:val="28"/>
          <w:szCs w:val="28"/>
        </w:rPr>
        <w:t xml:space="preserve">  </w:t>
      </w:r>
      <w:r>
        <w:rPr>
          <w:rFonts w:hint="eastAsia" w:ascii="黑体" w:eastAsia="黑体"/>
          <w:sz w:val="28"/>
          <w:szCs w:val="28"/>
        </w:rPr>
        <w:t>点：济南市章丘区官庄街道办事处弓角湾村</w:t>
      </w:r>
    </w:p>
    <w:p w14:paraId="47A11369">
      <w:pPr>
        <w:spacing w:line="360" w:lineRule="auto"/>
        <w:ind w:firstLine="560" w:firstLineChars="200"/>
        <w:rPr>
          <w:rFonts w:ascii="黑体" w:eastAsia="黑体"/>
          <w:sz w:val="28"/>
          <w:szCs w:val="28"/>
        </w:rPr>
      </w:pPr>
      <w:r>
        <w:rPr>
          <w:rFonts w:hint="eastAsia" w:ascii="黑体" w:eastAsia="黑体"/>
          <w:sz w:val="28"/>
          <w:szCs w:val="28"/>
        </w:rPr>
        <w:t>合</w:t>
      </w:r>
      <w:r>
        <w:rPr>
          <w:rFonts w:ascii="黑体" w:eastAsia="黑体"/>
          <w:sz w:val="28"/>
          <w:szCs w:val="28"/>
        </w:rPr>
        <w:t xml:space="preserve">  </w:t>
      </w:r>
      <w:r>
        <w:rPr>
          <w:rFonts w:hint="eastAsia" w:ascii="黑体" w:eastAsia="黑体"/>
          <w:sz w:val="28"/>
          <w:szCs w:val="28"/>
        </w:rPr>
        <w:t>同</w:t>
      </w:r>
      <w:r>
        <w:rPr>
          <w:rFonts w:ascii="黑体" w:eastAsia="黑体"/>
          <w:sz w:val="28"/>
          <w:szCs w:val="28"/>
        </w:rPr>
        <w:t xml:space="preserve">  </w:t>
      </w:r>
      <w:r>
        <w:rPr>
          <w:rFonts w:hint="eastAsia" w:ascii="黑体" w:eastAsia="黑体"/>
          <w:sz w:val="28"/>
          <w:szCs w:val="28"/>
        </w:rPr>
        <w:t>编</w:t>
      </w:r>
      <w:r>
        <w:rPr>
          <w:rFonts w:ascii="黑体" w:eastAsia="黑体"/>
          <w:sz w:val="28"/>
          <w:szCs w:val="28"/>
        </w:rPr>
        <w:t xml:space="preserve">  </w:t>
      </w:r>
      <w:r>
        <w:rPr>
          <w:rFonts w:hint="eastAsia" w:ascii="黑体" w:eastAsia="黑体"/>
          <w:sz w:val="28"/>
          <w:szCs w:val="28"/>
        </w:rPr>
        <w:t>号：</w:t>
      </w:r>
      <w:r>
        <w:rPr>
          <w:rFonts w:hint="eastAsia" w:ascii="黑体" w:hAnsi="仿宋" w:eastAsia="黑体"/>
          <w:sz w:val="28"/>
          <w:szCs w:val="28"/>
          <w:u w:val="single"/>
        </w:rPr>
        <w:t xml:space="preserve">                          </w:t>
      </w:r>
    </w:p>
    <w:p w14:paraId="10C07B83">
      <w:pPr>
        <w:spacing w:line="360" w:lineRule="auto"/>
        <w:ind w:firstLine="560" w:firstLineChars="200"/>
        <w:rPr>
          <w:rFonts w:ascii="黑体" w:eastAsia="黑体"/>
          <w:sz w:val="28"/>
          <w:szCs w:val="28"/>
        </w:rPr>
      </w:pPr>
      <w:r>
        <w:rPr>
          <w:rFonts w:hint="eastAsia" w:ascii="黑体" w:eastAsia="黑体"/>
          <w:sz w:val="28"/>
          <w:szCs w:val="28"/>
        </w:rPr>
        <w:t xml:space="preserve">定  作  人：山东济钢环保新材料有限公司 </w:t>
      </w:r>
    </w:p>
    <w:p w14:paraId="30E644B8">
      <w:pPr>
        <w:spacing w:line="360" w:lineRule="auto"/>
        <w:ind w:firstLine="560" w:firstLineChars="200"/>
        <w:rPr>
          <w:rFonts w:ascii="黑体" w:eastAsia="黑体"/>
          <w:sz w:val="28"/>
          <w:szCs w:val="28"/>
          <w:u w:val="single"/>
        </w:rPr>
      </w:pPr>
      <w:r>
        <w:rPr>
          <w:rFonts w:hint="eastAsia" w:ascii="黑体" w:eastAsia="黑体"/>
          <w:sz w:val="28"/>
          <w:szCs w:val="28"/>
        </w:rPr>
        <w:t xml:space="preserve">承  揽  人： </w:t>
      </w:r>
      <w:r>
        <w:rPr>
          <w:rFonts w:hint="eastAsia" w:ascii="黑体" w:eastAsia="黑体"/>
          <w:sz w:val="28"/>
          <w:szCs w:val="28"/>
          <w:u w:val="single"/>
        </w:rPr>
        <w:t xml:space="preserve">                        </w:t>
      </w:r>
    </w:p>
    <w:p w14:paraId="663D4EEF">
      <w:pPr>
        <w:ind w:right="27" w:rightChars="13" w:firstLine="560" w:firstLineChars="200"/>
        <w:rPr>
          <w:rFonts w:ascii="黑体" w:eastAsia="黑体"/>
          <w:sz w:val="28"/>
          <w:szCs w:val="28"/>
        </w:rPr>
      </w:pPr>
      <w:r>
        <w:rPr>
          <w:rFonts w:hint="eastAsia" w:ascii="黑体" w:eastAsia="黑体"/>
          <w:sz w:val="28"/>
          <w:szCs w:val="28"/>
        </w:rPr>
        <w:t>签</w:t>
      </w:r>
      <w:r>
        <w:rPr>
          <w:rFonts w:ascii="黑体" w:eastAsia="黑体"/>
          <w:sz w:val="28"/>
          <w:szCs w:val="28"/>
        </w:rPr>
        <w:t xml:space="preserve">  </w:t>
      </w:r>
      <w:r>
        <w:rPr>
          <w:rFonts w:hint="eastAsia" w:ascii="黑体" w:eastAsia="黑体"/>
          <w:sz w:val="28"/>
          <w:szCs w:val="28"/>
        </w:rPr>
        <w:t>订</w:t>
      </w:r>
      <w:r>
        <w:rPr>
          <w:rFonts w:ascii="黑体" w:eastAsia="黑体"/>
          <w:sz w:val="28"/>
          <w:szCs w:val="28"/>
        </w:rPr>
        <w:t xml:space="preserve">  </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rPr>
        <w:t>期：</w:t>
      </w:r>
      <w:r>
        <w:rPr>
          <w:rFonts w:ascii="黑体" w:eastAsia="黑体"/>
          <w:sz w:val="28"/>
          <w:szCs w:val="28"/>
        </w:rPr>
        <w:t xml:space="preserve">  </w:t>
      </w:r>
      <w:r>
        <w:rPr>
          <w:rFonts w:hint="eastAsia" w:ascii="黑体" w:eastAsia="黑体"/>
          <w:sz w:val="28"/>
          <w:szCs w:val="28"/>
        </w:rPr>
        <w:t xml:space="preserve">  年  月   日</w:t>
      </w:r>
    </w:p>
    <w:p w14:paraId="78436372">
      <w:pPr>
        <w:ind w:right="27" w:rightChars="13" w:firstLine="560" w:firstLineChars="200"/>
        <w:rPr>
          <w:rFonts w:ascii="黑体" w:eastAsia="黑体"/>
          <w:sz w:val="28"/>
          <w:szCs w:val="28"/>
        </w:rPr>
      </w:pPr>
      <w:r>
        <w:rPr>
          <w:rFonts w:hint="eastAsia" w:ascii="黑体" w:eastAsia="黑体"/>
          <w:sz w:val="28"/>
          <w:szCs w:val="28"/>
        </w:rPr>
        <w:t>签  订  地  点：山东省济南市</w:t>
      </w:r>
    </w:p>
    <w:p w14:paraId="78C0B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p>
    <w:p w14:paraId="09A62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p>
    <w:p w14:paraId="52F2B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p>
    <w:p w14:paraId="3782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p>
    <w:p w14:paraId="6B597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Pr>
          <w:rFonts w:hint="eastAsia"/>
          <w:b/>
          <w:color w:val="000000"/>
          <w:sz w:val="28"/>
          <w:szCs w:val="28"/>
        </w:rPr>
        <w:t>承 揽 合 同</w:t>
      </w:r>
    </w:p>
    <w:p w14:paraId="76B838FE">
      <w:pPr>
        <w:pBdr>
          <w:bottom w:val="single" w:color="auto" w:sz="12" w:space="2"/>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5250" w:firstLineChars="2500"/>
        <w:rPr>
          <w:color w:val="000000"/>
        </w:rPr>
      </w:pPr>
      <w:r>
        <w:rPr>
          <w:rFonts w:hint="eastAsia"/>
          <w:color w:val="000000"/>
        </w:rPr>
        <w:t>合同编号：_____________                     定作人：</w:t>
      </w:r>
      <w:r>
        <w:rPr>
          <w:rFonts w:hint="eastAsia" w:cs="黑体"/>
          <w:bCs/>
          <w:color w:val="000000"/>
        </w:rPr>
        <w:t xml:space="preserve">                     </w:t>
      </w:r>
      <w:r>
        <w:rPr>
          <w:rFonts w:hint="eastAsia"/>
          <w:color w:val="000000"/>
        </w:rPr>
        <w:t xml:space="preserve">                     签订地点：定作人住所地</w:t>
      </w:r>
    </w:p>
    <w:p w14:paraId="4B2B513A">
      <w:pPr>
        <w:pBdr>
          <w:bottom w:val="single" w:color="auto" w:sz="12" w:space="2"/>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color w:val="000000"/>
        </w:rPr>
      </w:pPr>
      <w:r>
        <w:rPr>
          <w:rFonts w:hint="eastAsia"/>
          <w:color w:val="000000"/>
        </w:rPr>
        <w:t>承揽人：                                    签订时间：____年____月____日</w:t>
      </w:r>
    </w:p>
    <w:p w14:paraId="7BEF181C">
      <w:pPr>
        <w:keepNext w:val="0"/>
        <w:keepLines w:val="0"/>
        <w:pageBreakBefore w:val="0"/>
        <w:widowControl w:val="0"/>
        <w:pBdr>
          <w:bottom w:val="single" w:color="auto" w:sz="12" w:space="2"/>
        </w:pBdr>
        <w:tabs>
          <w:tab w:val="left" w:pos="916"/>
          <w:tab w:val="left" w:pos="1832"/>
          <w:tab w:val="left" w:pos="2748"/>
          <w:tab w:val="left" w:pos="3664"/>
          <w:tab w:val="right" w:pos="9524"/>
        </w:tabs>
        <w:kinsoku/>
        <w:wordWrap/>
        <w:overflowPunct/>
        <w:topLinePunct w:val="0"/>
        <w:autoSpaceDE/>
        <w:autoSpaceDN/>
        <w:bidi w:val="0"/>
        <w:adjustRightInd/>
        <w:snapToGrid/>
        <w:spacing w:line="400" w:lineRule="exact"/>
        <w:ind w:left="420" w:leftChars="200"/>
        <w:textAlignment w:val="auto"/>
        <w:rPr>
          <w:color w:val="000000"/>
        </w:rPr>
      </w:pPr>
      <w:r>
        <w:rPr>
          <w:rFonts w:hint="eastAsia"/>
          <w:color w:val="000000"/>
        </w:rPr>
        <w:t>第一条：承揽项目、数量、报酬及交付期限</w:t>
      </w:r>
      <w:r>
        <w:rPr>
          <w:rFonts w:hint="eastAsia"/>
          <w:color w:val="000000"/>
        </w:rPr>
        <w:tab/>
      </w:r>
    </w:p>
    <w:tbl>
      <w:tblPr>
        <w:tblStyle w:val="13"/>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1800"/>
        <w:gridCol w:w="1620"/>
        <w:gridCol w:w="1260"/>
        <w:gridCol w:w="2160"/>
      </w:tblGrid>
      <w:tr w14:paraId="3094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tcBorders>
              <w:top w:val="single" w:color="auto" w:sz="4" w:space="0"/>
              <w:left w:val="single" w:color="auto" w:sz="4" w:space="0"/>
              <w:bottom w:val="single" w:color="auto" w:sz="4" w:space="0"/>
              <w:right w:val="single" w:color="auto" w:sz="4" w:space="0"/>
            </w:tcBorders>
          </w:tcPr>
          <w:p w14:paraId="5B4FB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color w:val="000000"/>
              </w:rPr>
            </w:pPr>
            <w:r>
              <w:rPr>
                <w:rFonts w:hint="eastAsia"/>
                <w:color w:val="000000"/>
              </w:rPr>
              <w:t>承揽项目及内容</w:t>
            </w:r>
          </w:p>
        </w:tc>
        <w:tc>
          <w:tcPr>
            <w:tcW w:w="1800" w:type="dxa"/>
            <w:vMerge w:val="restart"/>
            <w:tcBorders>
              <w:top w:val="single" w:color="auto" w:sz="4" w:space="0"/>
              <w:left w:val="single" w:color="auto" w:sz="4" w:space="0"/>
              <w:bottom w:val="single" w:color="auto" w:sz="4" w:space="0"/>
              <w:right w:val="single" w:color="auto" w:sz="4" w:space="0"/>
            </w:tcBorders>
          </w:tcPr>
          <w:p w14:paraId="2BEAE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color w:val="000000"/>
              </w:rPr>
            </w:pPr>
            <w:r>
              <w:rPr>
                <w:rFonts w:hint="eastAsia"/>
                <w:color w:val="000000"/>
              </w:rPr>
              <w:t>计量单位</w:t>
            </w:r>
          </w:p>
        </w:tc>
        <w:tc>
          <w:tcPr>
            <w:tcW w:w="1620" w:type="dxa"/>
            <w:vMerge w:val="restart"/>
            <w:tcBorders>
              <w:top w:val="single" w:color="auto" w:sz="4" w:space="0"/>
              <w:left w:val="single" w:color="auto" w:sz="4" w:space="0"/>
              <w:bottom w:val="single" w:color="auto" w:sz="4" w:space="0"/>
              <w:right w:val="single" w:color="auto" w:sz="4" w:space="0"/>
            </w:tcBorders>
          </w:tcPr>
          <w:p w14:paraId="1BDF6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hint="eastAsia"/>
                <w:color w:val="000000"/>
              </w:rPr>
            </w:pPr>
            <w:r>
              <w:rPr>
                <w:rFonts w:hint="eastAsia"/>
                <w:color w:val="000000"/>
              </w:rPr>
              <w:t>数量或工作量</w:t>
            </w:r>
          </w:p>
          <w:p w14:paraId="209FD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color w:val="000000"/>
              </w:rPr>
            </w:pPr>
          </w:p>
        </w:tc>
        <w:tc>
          <w:tcPr>
            <w:tcW w:w="3420" w:type="dxa"/>
            <w:gridSpan w:val="2"/>
            <w:tcBorders>
              <w:top w:val="single" w:color="auto" w:sz="4" w:space="0"/>
              <w:left w:val="single" w:color="auto" w:sz="4" w:space="0"/>
              <w:bottom w:val="single" w:color="auto" w:sz="4" w:space="0"/>
              <w:right w:val="single" w:color="auto" w:sz="4" w:space="0"/>
            </w:tcBorders>
          </w:tcPr>
          <w:p w14:paraId="1A2C0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color w:val="000000"/>
              </w:rPr>
            </w:pPr>
            <w:r>
              <w:rPr>
                <w:rFonts w:hint="eastAsia"/>
                <w:color w:val="000000"/>
              </w:rPr>
              <w:t>报酬</w:t>
            </w:r>
          </w:p>
        </w:tc>
      </w:tr>
      <w:tr w14:paraId="6EC0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18B0B45">
            <w:pPr>
              <w:spacing w:line="400" w:lineRule="exact"/>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5E15E61">
            <w:pPr>
              <w:spacing w:line="400" w:lineRule="exact"/>
              <w:rPr>
                <w:color w:val="00000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D2177F0">
            <w:pPr>
              <w:spacing w:line="400" w:lineRule="exact"/>
              <w:rPr>
                <w:color w:val="000000"/>
              </w:rPr>
            </w:pPr>
          </w:p>
        </w:tc>
        <w:tc>
          <w:tcPr>
            <w:tcW w:w="1260" w:type="dxa"/>
            <w:tcBorders>
              <w:top w:val="single" w:color="auto" w:sz="4" w:space="0"/>
              <w:left w:val="single" w:color="auto" w:sz="4" w:space="0"/>
              <w:bottom w:val="single" w:color="auto" w:sz="4" w:space="0"/>
              <w:right w:val="single" w:color="auto" w:sz="4" w:space="0"/>
            </w:tcBorders>
          </w:tcPr>
          <w:p w14:paraId="1AD7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color w:val="000000"/>
              </w:rPr>
            </w:pPr>
            <w:r>
              <w:rPr>
                <w:rFonts w:hint="eastAsia"/>
                <w:color w:val="000000"/>
              </w:rPr>
              <w:t>单价（元）</w:t>
            </w:r>
          </w:p>
        </w:tc>
        <w:tc>
          <w:tcPr>
            <w:tcW w:w="2160" w:type="dxa"/>
            <w:tcBorders>
              <w:top w:val="single" w:color="auto" w:sz="4" w:space="0"/>
              <w:left w:val="single" w:color="auto" w:sz="4" w:space="0"/>
              <w:bottom w:val="single" w:color="auto" w:sz="4" w:space="0"/>
              <w:right w:val="single" w:color="auto" w:sz="4" w:space="0"/>
            </w:tcBorders>
          </w:tcPr>
          <w:p w14:paraId="75B44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color w:val="000000"/>
              </w:rPr>
            </w:pPr>
            <w:r>
              <w:rPr>
                <w:rFonts w:hint="eastAsia"/>
                <w:color w:val="000000"/>
              </w:rPr>
              <w:t>金额（元）</w:t>
            </w:r>
          </w:p>
        </w:tc>
      </w:tr>
      <w:tr w14:paraId="5720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880" w:type="dxa"/>
            <w:tcBorders>
              <w:top w:val="single" w:color="auto" w:sz="4" w:space="0"/>
              <w:left w:val="single" w:color="auto" w:sz="4" w:space="0"/>
              <w:bottom w:val="single" w:color="auto" w:sz="4" w:space="0"/>
              <w:right w:val="single" w:color="auto" w:sz="4" w:space="0"/>
            </w:tcBorders>
          </w:tcPr>
          <w:p w14:paraId="1745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color w:val="000000"/>
              </w:rPr>
            </w:pPr>
            <w:r>
              <w:rPr>
                <w:rFonts w:hint="eastAsia"/>
                <w:color w:val="000000"/>
              </w:rPr>
              <w:t>委托二次筛分</w:t>
            </w:r>
            <w:r>
              <w:rPr>
                <w:rFonts w:hint="eastAsia"/>
                <w:color w:val="000000"/>
                <w:lang w:eastAsia="zh-CN"/>
              </w:rPr>
              <w:t>1-3</w:t>
            </w:r>
            <w:r>
              <w:rPr>
                <w:rFonts w:hint="eastAsia"/>
                <w:color w:val="000000"/>
              </w:rPr>
              <w:t>石子</w:t>
            </w:r>
          </w:p>
        </w:tc>
        <w:tc>
          <w:tcPr>
            <w:tcW w:w="1800" w:type="dxa"/>
            <w:tcBorders>
              <w:top w:val="single" w:color="auto" w:sz="4" w:space="0"/>
              <w:left w:val="single" w:color="auto" w:sz="4" w:space="0"/>
              <w:bottom w:val="single" w:color="auto" w:sz="4" w:space="0"/>
              <w:right w:val="single" w:color="auto" w:sz="4" w:space="0"/>
            </w:tcBorders>
          </w:tcPr>
          <w:p w14:paraId="72CF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color w:val="000000"/>
              </w:rPr>
            </w:pPr>
            <w:r>
              <w:rPr>
                <w:rFonts w:hint="eastAsia"/>
                <w:color w:val="000000"/>
              </w:rPr>
              <w:t>吨</w:t>
            </w:r>
          </w:p>
        </w:tc>
        <w:tc>
          <w:tcPr>
            <w:tcW w:w="1620" w:type="dxa"/>
            <w:tcBorders>
              <w:top w:val="single" w:color="auto" w:sz="4" w:space="0"/>
              <w:left w:val="single" w:color="auto" w:sz="4" w:space="0"/>
              <w:bottom w:val="single" w:color="auto" w:sz="4" w:space="0"/>
              <w:right w:val="single" w:color="auto" w:sz="4" w:space="0"/>
            </w:tcBorders>
          </w:tcPr>
          <w:p w14:paraId="0FC0E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color w:val="000000"/>
              </w:rPr>
            </w:pPr>
            <w:r>
              <w:rPr>
                <w:rFonts w:hint="eastAsia"/>
                <w:color w:val="000000"/>
              </w:rPr>
              <w:t>2</w:t>
            </w:r>
            <w:r>
              <w:rPr>
                <w:rFonts w:hint="eastAsia"/>
                <w:color w:val="000000"/>
                <w:lang w:val="en-US" w:eastAsia="zh-CN"/>
              </w:rPr>
              <w:t>65</w:t>
            </w:r>
            <w:r>
              <w:rPr>
                <w:rFonts w:hint="eastAsia"/>
                <w:color w:val="000000"/>
              </w:rPr>
              <w:t>000</w:t>
            </w:r>
          </w:p>
        </w:tc>
        <w:tc>
          <w:tcPr>
            <w:tcW w:w="1260" w:type="dxa"/>
            <w:tcBorders>
              <w:top w:val="single" w:color="auto" w:sz="4" w:space="0"/>
              <w:left w:val="single" w:color="auto" w:sz="4" w:space="0"/>
              <w:bottom w:val="single" w:color="auto" w:sz="4" w:space="0"/>
              <w:right w:val="single" w:color="auto" w:sz="4" w:space="0"/>
            </w:tcBorders>
          </w:tcPr>
          <w:p w14:paraId="3B3B0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color w:val="000000"/>
              </w:rPr>
            </w:pPr>
          </w:p>
        </w:tc>
        <w:tc>
          <w:tcPr>
            <w:tcW w:w="2160" w:type="dxa"/>
            <w:tcBorders>
              <w:top w:val="single" w:color="auto" w:sz="4" w:space="0"/>
              <w:left w:val="single" w:color="auto" w:sz="4" w:space="0"/>
              <w:bottom w:val="single" w:color="auto" w:sz="4" w:space="0"/>
              <w:right w:val="single" w:color="auto" w:sz="4" w:space="0"/>
            </w:tcBorders>
          </w:tcPr>
          <w:p w14:paraId="0CB6C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color w:val="000000"/>
              </w:rPr>
            </w:pPr>
          </w:p>
        </w:tc>
      </w:tr>
      <w:tr w14:paraId="3937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720" w:type="dxa"/>
            <w:gridSpan w:val="5"/>
            <w:tcBorders>
              <w:top w:val="single" w:color="auto" w:sz="4" w:space="0"/>
              <w:left w:val="single" w:color="auto" w:sz="4" w:space="0"/>
              <w:bottom w:val="single" w:color="auto" w:sz="4" w:space="0"/>
              <w:right w:val="single" w:color="auto" w:sz="4" w:space="0"/>
            </w:tcBorders>
          </w:tcPr>
          <w:p w14:paraId="09F71445">
            <w:pPr>
              <w:spacing w:line="580" w:lineRule="exact"/>
              <w:jc w:val="center"/>
              <w:rPr>
                <w:rFonts w:asciiTheme="minorEastAsia" w:hAnsiTheme="minorEastAsia"/>
                <w:bCs/>
                <w:szCs w:val="21"/>
              </w:rPr>
            </w:pPr>
            <w:r>
              <w:rPr>
                <w:rFonts w:hint="eastAsia"/>
                <w:color w:val="000000"/>
              </w:rPr>
              <w:t>承揽主要内容的：</w:t>
            </w:r>
            <w:r>
              <w:rPr>
                <w:rFonts w:hint="eastAsia" w:asciiTheme="minorEastAsia" w:hAnsiTheme="minorEastAsia"/>
                <w:bCs/>
                <w:szCs w:val="21"/>
              </w:rPr>
              <w:t>利用自有设备堆成成品仓</w:t>
            </w:r>
            <w:r>
              <w:rPr>
                <w:rFonts w:hint="eastAsia" w:asciiTheme="minorEastAsia" w:hAnsiTheme="minorEastAsia"/>
                <w:bCs/>
                <w:szCs w:val="21"/>
                <w:lang w:eastAsia="zh-CN"/>
              </w:rPr>
              <w:t>1-3</w:t>
            </w:r>
            <w:r>
              <w:rPr>
                <w:rFonts w:hint="eastAsia" w:asciiTheme="minorEastAsia" w:hAnsiTheme="minorEastAsia"/>
                <w:bCs/>
                <w:szCs w:val="21"/>
              </w:rPr>
              <w:t>石子进行筛分，筛分后含粉率≤0.5%，</w:t>
            </w:r>
          </w:p>
          <w:p w14:paraId="23CEF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Theme="minorEastAsia" w:hAnsiTheme="minorEastAsia"/>
                <w:color w:val="000000"/>
                <w:szCs w:val="21"/>
              </w:rPr>
            </w:pPr>
            <w:r>
              <w:rPr>
                <w:rFonts w:hint="eastAsia" w:asciiTheme="minorEastAsia" w:hAnsiTheme="minorEastAsia"/>
                <w:bCs/>
                <w:szCs w:val="21"/>
              </w:rPr>
              <w:t>筛分的实际结算量依销售加工量并经汽车衡计量的重量据实结算，承揽人承担整个加工筛分工序除电费之外所需人工费、设备费、材料消耗等全部费用。</w:t>
            </w:r>
          </w:p>
          <w:p w14:paraId="4FE64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color w:val="000000"/>
              </w:rPr>
            </w:pPr>
          </w:p>
        </w:tc>
      </w:tr>
      <w:tr w14:paraId="32B7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720" w:type="dxa"/>
            <w:gridSpan w:val="5"/>
            <w:tcBorders>
              <w:top w:val="single" w:color="auto" w:sz="4" w:space="0"/>
              <w:left w:val="single" w:color="auto" w:sz="4" w:space="0"/>
              <w:bottom w:val="single" w:color="auto" w:sz="4" w:space="0"/>
              <w:right w:val="single" w:color="auto" w:sz="4" w:space="0"/>
            </w:tcBorders>
          </w:tcPr>
          <w:p w14:paraId="0AD0B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color w:val="000000"/>
              </w:rPr>
            </w:pPr>
            <w:r>
              <w:rPr>
                <w:rFonts w:hint="eastAsia"/>
                <w:color w:val="000000"/>
              </w:rPr>
              <w:t>合计人民币金额(大写)：     （含    %增值税￥      ）</w:t>
            </w:r>
          </w:p>
        </w:tc>
      </w:tr>
    </w:tbl>
    <w:p w14:paraId="798D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rPr>
      </w:pPr>
      <w:r>
        <w:rPr>
          <w:rFonts w:hint="eastAsia" w:asciiTheme="minorEastAsia" w:hAnsiTheme="minorEastAsia"/>
          <w:bCs/>
          <w:szCs w:val="21"/>
        </w:rPr>
        <w:t>第二条：技术标准、质量要求：筛分后石子含粉率≤0.5%，筛后产品和筛余无杂物。有每小时不小于外发6车的加工能力。承揽人履行质保义务所需的全部费用（包括但不限于更换配件、材料、人工费等所需全部费用）均由承揽人承担。</w:t>
      </w:r>
    </w:p>
    <w:p w14:paraId="02C4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rPr>
      </w:pPr>
      <w:r>
        <w:rPr>
          <w:rFonts w:hint="eastAsia" w:asciiTheme="minorEastAsia" w:hAnsiTheme="minorEastAsia"/>
          <w:bCs/>
          <w:szCs w:val="21"/>
        </w:rPr>
        <w:t>第三条：定作人协助承揽人的事项与要求：</w:t>
      </w:r>
      <w:r>
        <w:rPr>
          <w:rFonts w:hint="eastAsia" w:asciiTheme="minorEastAsia" w:hAnsiTheme="minorEastAsia"/>
          <w:bCs/>
          <w:szCs w:val="21"/>
          <w:lang w:eastAsia="zh-CN"/>
        </w:rPr>
        <w:t>承揽人</w:t>
      </w:r>
      <w:r>
        <w:rPr>
          <w:rFonts w:hint="eastAsia" w:asciiTheme="minorEastAsia" w:hAnsiTheme="minorEastAsia"/>
          <w:bCs/>
          <w:szCs w:val="21"/>
        </w:rPr>
        <w:t>负责在</w:t>
      </w:r>
      <w:r>
        <w:rPr>
          <w:rFonts w:hint="eastAsia" w:asciiTheme="minorEastAsia" w:hAnsiTheme="minorEastAsia"/>
          <w:bCs/>
          <w:szCs w:val="21"/>
          <w:lang w:val="en-US" w:eastAsia="zh-CN"/>
        </w:rPr>
        <w:t>1</w:t>
      </w:r>
      <w:r>
        <w:rPr>
          <w:rFonts w:hint="eastAsia" w:asciiTheme="minorEastAsia" w:hAnsiTheme="minorEastAsia"/>
          <w:bCs/>
          <w:szCs w:val="21"/>
        </w:rPr>
        <w:t>号成品仓</w:t>
      </w:r>
      <w:r>
        <w:rPr>
          <w:rFonts w:hint="eastAsia" w:asciiTheme="minorEastAsia" w:hAnsiTheme="minorEastAsia"/>
          <w:bCs/>
          <w:szCs w:val="21"/>
          <w:lang w:val="en-US" w:eastAsia="zh-CN"/>
        </w:rPr>
        <w:t>东仓</w:t>
      </w:r>
      <w:r>
        <w:rPr>
          <w:rFonts w:hint="eastAsia" w:asciiTheme="minorEastAsia" w:hAnsiTheme="minorEastAsia"/>
          <w:bCs/>
          <w:szCs w:val="21"/>
        </w:rPr>
        <w:t>底</w:t>
      </w:r>
      <w:r>
        <w:rPr>
          <w:rFonts w:hint="eastAsia" w:asciiTheme="minorEastAsia" w:hAnsiTheme="minorEastAsia"/>
          <w:bCs/>
          <w:szCs w:val="21"/>
          <w:lang w:val="en-US" w:eastAsia="zh-CN"/>
        </w:rPr>
        <w:t>部</w:t>
      </w:r>
      <w:r>
        <w:rPr>
          <w:rFonts w:hint="eastAsia" w:asciiTheme="minorEastAsia" w:hAnsiTheme="minorEastAsia"/>
          <w:bCs/>
          <w:szCs w:val="21"/>
        </w:rPr>
        <w:t>安装设置筛分设备，</w:t>
      </w:r>
      <w:r>
        <w:rPr>
          <w:rFonts w:hint="eastAsia" w:asciiTheme="minorEastAsia" w:hAnsiTheme="minorEastAsia"/>
          <w:bCs/>
          <w:szCs w:val="21"/>
          <w:lang w:eastAsia="zh-CN"/>
        </w:rPr>
        <w:t>定作人</w:t>
      </w:r>
      <w:r>
        <w:rPr>
          <w:rFonts w:hint="eastAsia" w:asciiTheme="minorEastAsia" w:hAnsiTheme="minorEastAsia"/>
          <w:bCs/>
          <w:szCs w:val="21"/>
        </w:rPr>
        <w:t>提供电源，电费</w:t>
      </w:r>
      <w:r>
        <w:rPr>
          <w:rFonts w:hint="eastAsia" w:asciiTheme="minorEastAsia" w:hAnsiTheme="minorEastAsia"/>
          <w:bCs/>
          <w:szCs w:val="21"/>
          <w:lang w:eastAsia="zh-CN"/>
        </w:rPr>
        <w:t>定作人</w:t>
      </w:r>
      <w:r>
        <w:rPr>
          <w:rFonts w:hint="eastAsia" w:asciiTheme="minorEastAsia" w:hAnsiTheme="minorEastAsia"/>
          <w:bCs/>
          <w:szCs w:val="21"/>
        </w:rPr>
        <w:t>承担。成品直接由皮带输送装车外销，筛下料由</w:t>
      </w:r>
      <w:r>
        <w:rPr>
          <w:rFonts w:hint="eastAsia" w:asciiTheme="minorEastAsia" w:hAnsiTheme="minorEastAsia"/>
          <w:bCs/>
          <w:szCs w:val="21"/>
          <w:lang w:eastAsia="zh-CN"/>
        </w:rPr>
        <w:t>承揽人</w:t>
      </w:r>
      <w:r>
        <w:rPr>
          <w:rFonts w:hint="eastAsia" w:asciiTheme="minorEastAsia" w:hAnsiTheme="minorEastAsia"/>
          <w:bCs/>
          <w:szCs w:val="21"/>
        </w:rPr>
        <w:t>车辆运至</w:t>
      </w:r>
      <w:r>
        <w:rPr>
          <w:rFonts w:hint="eastAsia" w:asciiTheme="minorEastAsia" w:hAnsiTheme="minorEastAsia"/>
          <w:bCs/>
          <w:szCs w:val="21"/>
          <w:lang w:eastAsia="zh-CN"/>
        </w:rPr>
        <w:t>定作人</w:t>
      </w:r>
      <w:r>
        <w:rPr>
          <w:rFonts w:hint="eastAsia" w:asciiTheme="minorEastAsia" w:hAnsiTheme="minorEastAsia"/>
          <w:bCs/>
          <w:szCs w:val="21"/>
        </w:rPr>
        <w:t>指定地点。</w:t>
      </w:r>
    </w:p>
    <w:p w14:paraId="1F1E9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rPr>
      </w:pPr>
      <w:r>
        <w:rPr>
          <w:rFonts w:hint="eastAsia" w:asciiTheme="minorEastAsia" w:hAnsiTheme="minorEastAsia"/>
          <w:bCs/>
          <w:szCs w:val="21"/>
        </w:rPr>
        <w:t>第四条：定作人不允许承揽项目中的工作交由第三人来完成。</w:t>
      </w:r>
    </w:p>
    <w:p w14:paraId="79EF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lang w:val="en-US" w:eastAsia="zh-CN"/>
        </w:rPr>
      </w:pPr>
      <w:r>
        <w:rPr>
          <w:rFonts w:hint="eastAsia" w:asciiTheme="minorEastAsia" w:hAnsiTheme="minorEastAsia"/>
          <w:bCs/>
          <w:szCs w:val="21"/>
        </w:rPr>
        <w:t>第五条：承揽项目实施地点及</w:t>
      </w:r>
      <w:r>
        <w:rPr>
          <w:rFonts w:hint="eastAsia" w:asciiTheme="minorEastAsia" w:hAnsiTheme="minorEastAsia"/>
          <w:bCs/>
          <w:szCs w:val="21"/>
          <w:lang w:val="en-US" w:eastAsia="zh-CN"/>
        </w:rPr>
        <w:t>合同期限</w:t>
      </w:r>
      <w:r>
        <w:rPr>
          <w:rFonts w:hint="eastAsia" w:asciiTheme="minorEastAsia" w:hAnsiTheme="minorEastAsia"/>
          <w:bCs/>
          <w:szCs w:val="21"/>
        </w:rPr>
        <w:t>：实施地点：</w:t>
      </w:r>
      <w:r>
        <w:rPr>
          <w:rFonts w:hint="eastAsia" w:asciiTheme="minorEastAsia" w:hAnsiTheme="minorEastAsia"/>
          <w:bCs/>
          <w:szCs w:val="21"/>
          <w:lang w:val="en-US" w:eastAsia="zh-CN"/>
        </w:rPr>
        <w:t>1</w:t>
      </w:r>
      <w:r>
        <w:rPr>
          <w:rFonts w:hint="eastAsia" w:asciiTheme="minorEastAsia" w:hAnsiTheme="minorEastAsia"/>
          <w:bCs/>
          <w:szCs w:val="21"/>
        </w:rPr>
        <w:t>号成品仓</w:t>
      </w:r>
      <w:r>
        <w:rPr>
          <w:rFonts w:hint="eastAsia" w:asciiTheme="minorEastAsia" w:hAnsiTheme="minorEastAsia"/>
          <w:bCs/>
          <w:szCs w:val="21"/>
          <w:lang w:eastAsia="zh-CN"/>
        </w:rPr>
        <w:t>（</w:t>
      </w:r>
      <w:r>
        <w:rPr>
          <w:rFonts w:hint="eastAsia" w:asciiTheme="minorEastAsia" w:hAnsiTheme="minorEastAsia"/>
          <w:bCs/>
          <w:szCs w:val="21"/>
          <w:lang w:val="en-US" w:eastAsia="zh-CN"/>
        </w:rPr>
        <w:t>东仓</w:t>
      </w:r>
      <w:r>
        <w:rPr>
          <w:rFonts w:hint="eastAsia" w:asciiTheme="minorEastAsia" w:hAnsiTheme="minorEastAsia"/>
          <w:bCs/>
          <w:szCs w:val="21"/>
          <w:lang w:eastAsia="zh-CN"/>
        </w:rPr>
        <w:t>）</w:t>
      </w:r>
      <w:r>
        <w:rPr>
          <w:rFonts w:hint="eastAsia" w:asciiTheme="minorEastAsia" w:hAnsiTheme="minorEastAsia"/>
          <w:bCs/>
          <w:szCs w:val="21"/>
        </w:rPr>
        <w:t xml:space="preserve">仓底 </w:t>
      </w:r>
      <w:r>
        <w:rPr>
          <w:rFonts w:hint="eastAsia" w:asciiTheme="minorEastAsia" w:hAnsiTheme="minorEastAsia"/>
          <w:bCs/>
          <w:szCs w:val="21"/>
          <w:lang w:eastAsia="zh-CN"/>
        </w:rPr>
        <w:t>。</w:t>
      </w:r>
      <w:r>
        <w:rPr>
          <w:rFonts w:hint="eastAsia" w:asciiTheme="minorEastAsia" w:hAnsiTheme="minorEastAsia"/>
          <w:bCs/>
          <w:szCs w:val="21"/>
          <w:lang w:val="en-US" w:eastAsia="zh-CN"/>
        </w:rPr>
        <w:t>合同期限：</w:t>
      </w:r>
      <w:r>
        <w:rPr>
          <w:rFonts w:hint="eastAsia" w:asciiTheme="minorEastAsia" w:hAnsiTheme="minorEastAsia"/>
          <w:bCs/>
          <w:szCs w:val="21"/>
        </w:rPr>
        <w:t>合同签订之日起</w:t>
      </w:r>
      <w:r>
        <w:rPr>
          <w:rFonts w:hint="eastAsia" w:asciiTheme="minorEastAsia" w:hAnsiTheme="minorEastAsia"/>
          <w:bCs/>
          <w:szCs w:val="21"/>
          <w:lang w:val="en-US" w:eastAsia="zh-CN"/>
        </w:rPr>
        <w:t>4</w:t>
      </w:r>
      <w:r>
        <w:rPr>
          <w:rFonts w:hint="eastAsia" w:asciiTheme="minorEastAsia" w:hAnsiTheme="minorEastAsia"/>
          <w:bCs/>
          <w:szCs w:val="21"/>
        </w:rPr>
        <w:t>个</w:t>
      </w:r>
      <w:r>
        <w:rPr>
          <w:rFonts w:hint="eastAsia" w:asciiTheme="minorEastAsia" w:hAnsiTheme="minorEastAsia"/>
          <w:bCs/>
          <w:szCs w:val="21"/>
          <w:lang w:val="en-US" w:eastAsia="zh-CN"/>
        </w:rPr>
        <w:t>月。</w:t>
      </w:r>
    </w:p>
    <w:p w14:paraId="7358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lang w:val="en-US" w:eastAsia="zh-CN"/>
        </w:rPr>
      </w:pPr>
      <w:r>
        <w:rPr>
          <w:rFonts w:hint="eastAsia" w:asciiTheme="minorEastAsia" w:hAnsiTheme="minorEastAsia"/>
          <w:bCs/>
          <w:szCs w:val="21"/>
        </w:rPr>
        <w:t>第六条：承揽人完成承揽项目使用的设备：</w:t>
      </w:r>
      <w:r>
        <w:rPr>
          <w:rFonts w:hint="eastAsia" w:asciiTheme="minorEastAsia" w:hAnsiTheme="minorEastAsia"/>
          <w:bCs/>
          <w:szCs w:val="21"/>
          <w:lang w:val="en-US" w:eastAsia="zh-CN"/>
        </w:rPr>
        <w:t>双转子振筛、液压泵站、传送带、配电柜。</w:t>
      </w:r>
    </w:p>
    <w:p w14:paraId="07A99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rPr>
      </w:pPr>
      <w:r>
        <w:rPr>
          <w:rFonts w:hint="eastAsia" w:asciiTheme="minorEastAsia" w:hAnsiTheme="minorEastAsia"/>
          <w:bCs/>
          <w:szCs w:val="21"/>
        </w:rPr>
        <w:t>第七条：验收标准、方法及提出异议期限：承揽项目交付定作人时,由</w:t>
      </w:r>
      <w:r>
        <w:rPr>
          <w:rFonts w:hint="eastAsia" w:asciiTheme="minorEastAsia" w:hAnsiTheme="minorEastAsia"/>
          <w:bCs/>
          <w:szCs w:val="21"/>
          <w:lang w:eastAsia="zh-CN"/>
        </w:rPr>
        <w:t>定作人</w:t>
      </w:r>
      <w:r>
        <w:rPr>
          <w:rFonts w:hint="eastAsia" w:asciiTheme="minorEastAsia" w:hAnsiTheme="minorEastAsia"/>
          <w:bCs/>
          <w:szCs w:val="21"/>
        </w:rPr>
        <w:t>按本合同之约定进行验收，</w:t>
      </w:r>
      <w:r>
        <w:rPr>
          <w:rFonts w:hint="eastAsia" w:asciiTheme="minorEastAsia" w:hAnsiTheme="minorEastAsia"/>
          <w:bCs/>
          <w:szCs w:val="21"/>
          <w:lang w:val="en-US" w:eastAsia="zh-CN"/>
        </w:rPr>
        <w:t>验收不合格的筛分量将不给予结算，</w:t>
      </w:r>
      <w:r>
        <w:rPr>
          <w:rFonts w:hint="eastAsia" w:asciiTheme="minorEastAsia" w:hAnsiTheme="minorEastAsia"/>
          <w:bCs/>
          <w:szCs w:val="21"/>
        </w:rPr>
        <w:t>如</w:t>
      </w:r>
      <w:r>
        <w:rPr>
          <w:rFonts w:hint="eastAsia" w:asciiTheme="minorEastAsia" w:hAnsiTheme="minorEastAsia"/>
          <w:bCs/>
          <w:szCs w:val="21"/>
          <w:lang w:eastAsia="zh-CN"/>
        </w:rPr>
        <w:t>定作人</w:t>
      </w:r>
      <w:r>
        <w:rPr>
          <w:rFonts w:hint="eastAsia" w:asciiTheme="minorEastAsia" w:hAnsiTheme="minorEastAsia"/>
          <w:bCs/>
          <w:szCs w:val="21"/>
        </w:rPr>
        <w:t>已支付合同款，则承揽人要将</w:t>
      </w:r>
      <w:r>
        <w:rPr>
          <w:rFonts w:hint="eastAsia" w:asciiTheme="minorEastAsia" w:hAnsiTheme="minorEastAsia"/>
          <w:bCs/>
          <w:szCs w:val="21"/>
          <w:lang w:eastAsia="zh-CN"/>
        </w:rPr>
        <w:t>定作人</w:t>
      </w:r>
      <w:r>
        <w:rPr>
          <w:rFonts w:hint="eastAsia" w:asciiTheme="minorEastAsia" w:hAnsiTheme="minorEastAsia"/>
          <w:bCs/>
          <w:szCs w:val="21"/>
        </w:rPr>
        <w:t>已支付的全部合同款通过电汇方式一次性全部返还给</w:t>
      </w:r>
      <w:r>
        <w:rPr>
          <w:rFonts w:hint="eastAsia" w:asciiTheme="minorEastAsia" w:hAnsiTheme="minorEastAsia"/>
          <w:bCs/>
          <w:szCs w:val="21"/>
          <w:lang w:eastAsia="zh-CN"/>
        </w:rPr>
        <w:t>定作人</w:t>
      </w:r>
      <w:r>
        <w:rPr>
          <w:rFonts w:hint="eastAsia" w:asciiTheme="minorEastAsia" w:hAnsiTheme="minorEastAsia"/>
          <w:bCs/>
          <w:szCs w:val="21"/>
        </w:rPr>
        <w:t>，且承揽人要另行赔偿因此给定作人造成的全部损失。</w:t>
      </w:r>
    </w:p>
    <w:p w14:paraId="7E38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rPr>
      </w:pPr>
      <w:r>
        <w:rPr>
          <w:rFonts w:hint="eastAsia" w:asciiTheme="minorEastAsia" w:hAnsiTheme="minorEastAsia"/>
          <w:bCs/>
          <w:szCs w:val="21"/>
        </w:rPr>
        <w:t>第</w:t>
      </w:r>
      <w:r>
        <w:rPr>
          <w:rFonts w:hint="eastAsia" w:asciiTheme="minorEastAsia" w:hAnsiTheme="minorEastAsia"/>
          <w:bCs/>
          <w:szCs w:val="21"/>
          <w:lang w:val="en-US" w:eastAsia="zh-CN"/>
        </w:rPr>
        <w:t>八</w:t>
      </w:r>
      <w:r>
        <w:rPr>
          <w:rFonts w:hint="eastAsia" w:asciiTheme="minorEastAsia" w:hAnsiTheme="minorEastAsia"/>
          <w:bCs/>
          <w:szCs w:val="21"/>
        </w:rPr>
        <w:t>条：结算方式及期限：支付方式：承兑支付</w:t>
      </w:r>
      <w:r>
        <w:rPr>
          <w:rFonts w:hint="eastAsia" w:asciiTheme="minorEastAsia" w:hAnsiTheme="minorEastAsia"/>
          <w:bCs/>
          <w:szCs w:val="21"/>
          <w:lang w:val="en-US" w:eastAsia="zh-CN"/>
        </w:rPr>
        <w:t>或供应链票据支付</w:t>
      </w:r>
      <w:r>
        <w:rPr>
          <w:rFonts w:hint="eastAsia" w:asciiTheme="minorEastAsia" w:hAnsiTheme="minorEastAsia"/>
          <w:bCs/>
          <w:szCs w:val="21"/>
        </w:rPr>
        <w:t>。每月</w:t>
      </w:r>
      <w:r>
        <w:rPr>
          <w:rFonts w:hint="eastAsia" w:asciiTheme="minorEastAsia" w:hAnsiTheme="minorEastAsia"/>
          <w:bCs/>
          <w:szCs w:val="21"/>
          <w:lang w:val="en-US" w:eastAsia="zh-CN"/>
        </w:rPr>
        <w:t>15</w:t>
      </w:r>
      <w:r>
        <w:rPr>
          <w:rFonts w:hint="eastAsia" w:asciiTheme="minorEastAsia" w:hAnsiTheme="minorEastAsia"/>
          <w:bCs/>
          <w:szCs w:val="21"/>
        </w:rPr>
        <w:t>日，</w:t>
      </w:r>
      <w:r>
        <w:rPr>
          <w:rFonts w:hint="eastAsia" w:asciiTheme="minorEastAsia" w:hAnsiTheme="minorEastAsia"/>
          <w:bCs/>
          <w:szCs w:val="21"/>
          <w:lang w:eastAsia="zh-CN"/>
        </w:rPr>
        <w:t>定作人</w:t>
      </w:r>
      <w:r>
        <w:rPr>
          <w:rFonts w:hint="eastAsia" w:asciiTheme="minorEastAsia" w:hAnsiTheme="minorEastAsia"/>
          <w:bCs/>
          <w:szCs w:val="21"/>
        </w:rPr>
        <w:t>根据实际销售加工量出具结算单并收到全额增值税</w:t>
      </w:r>
      <w:r>
        <w:rPr>
          <w:rFonts w:hint="eastAsia" w:asciiTheme="minorEastAsia" w:hAnsiTheme="minorEastAsia"/>
          <w:bCs/>
          <w:szCs w:val="21"/>
          <w:lang w:val="en-US" w:eastAsia="zh-CN"/>
        </w:rPr>
        <w:t>专用</w:t>
      </w:r>
      <w:r>
        <w:rPr>
          <w:rFonts w:hint="eastAsia" w:asciiTheme="minorEastAsia" w:hAnsiTheme="minorEastAsia"/>
          <w:bCs/>
          <w:szCs w:val="21"/>
        </w:rPr>
        <w:t>发票后，次月以银行承兑方式支付</w:t>
      </w:r>
      <w:r>
        <w:rPr>
          <w:rFonts w:hint="eastAsia" w:asciiTheme="minorEastAsia" w:hAnsiTheme="minorEastAsia"/>
          <w:bCs/>
          <w:szCs w:val="21"/>
          <w:lang w:val="en-US" w:eastAsia="zh-CN"/>
        </w:rPr>
        <w:t>或供应链票据支付</w:t>
      </w:r>
      <w:r>
        <w:rPr>
          <w:rFonts w:hint="eastAsia" w:asciiTheme="minorEastAsia" w:hAnsiTheme="minorEastAsia"/>
          <w:bCs/>
          <w:szCs w:val="21"/>
        </w:rPr>
        <w:t>；协议在履行期间，遇国家税率调整，以不含税价格为基准，以新税率调整协议价格。</w:t>
      </w:r>
    </w:p>
    <w:p w14:paraId="2CC04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rPr>
      </w:pPr>
      <w:r>
        <w:rPr>
          <w:rFonts w:hint="eastAsia" w:asciiTheme="minorEastAsia" w:hAnsiTheme="minorEastAsia"/>
          <w:bCs/>
          <w:szCs w:val="21"/>
        </w:rPr>
        <w:t>第</w:t>
      </w:r>
      <w:r>
        <w:rPr>
          <w:rFonts w:hint="eastAsia" w:asciiTheme="minorEastAsia" w:hAnsiTheme="minorEastAsia"/>
          <w:bCs/>
          <w:szCs w:val="21"/>
          <w:lang w:val="en-US" w:eastAsia="zh-CN"/>
        </w:rPr>
        <w:t>九</w:t>
      </w:r>
      <w:r>
        <w:rPr>
          <w:rFonts w:hint="eastAsia" w:asciiTheme="minorEastAsia" w:hAnsiTheme="minorEastAsia"/>
          <w:bCs/>
          <w:szCs w:val="21"/>
        </w:rPr>
        <w:t>条：违约责任：</w:t>
      </w:r>
    </w:p>
    <w:p w14:paraId="418DA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rPr>
      </w:pPr>
      <w:r>
        <w:rPr>
          <w:rFonts w:hint="eastAsia" w:asciiTheme="minorEastAsia" w:hAnsiTheme="minorEastAsia"/>
          <w:bCs/>
          <w:szCs w:val="21"/>
          <w:lang w:val="en-US" w:eastAsia="zh-CN"/>
        </w:rPr>
        <w:t>1、</w:t>
      </w:r>
      <w:r>
        <w:rPr>
          <w:rFonts w:hint="eastAsia" w:asciiTheme="minorEastAsia" w:hAnsiTheme="minorEastAsia"/>
          <w:bCs/>
          <w:szCs w:val="21"/>
        </w:rPr>
        <w:t>承揽人要按时完成并向</w:t>
      </w:r>
      <w:r>
        <w:rPr>
          <w:rFonts w:hint="eastAsia" w:asciiTheme="minorEastAsia" w:hAnsiTheme="minorEastAsia"/>
          <w:bCs/>
          <w:szCs w:val="21"/>
          <w:lang w:eastAsia="zh-CN"/>
        </w:rPr>
        <w:t>定作人</w:t>
      </w:r>
      <w:r>
        <w:rPr>
          <w:rFonts w:hint="eastAsia" w:asciiTheme="minorEastAsia" w:hAnsiTheme="minorEastAsia"/>
          <w:bCs/>
          <w:szCs w:val="21"/>
        </w:rPr>
        <w:t>交付承揽项目，否则，每延期一天，需向定作人支付合同总金额3‰的违约金，若延期已达</w:t>
      </w:r>
      <w:r>
        <w:rPr>
          <w:rFonts w:hint="eastAsia" w:asciiTheme="minorEastAsia" w:hAnsiTheme="minorEastAsia"/>
          <w:bCs/>
          <w:szCs w:val="21"/>
          <w:lang w:val="en-US" w:eastAsia="zh-CN"/>
        </w:rPr>
        <w:t>3</w:t>
      </w:r>
      <w:r>
        <w:rPr>
          <w:rFonts w:hint="eastAsia" w:asciiTheme="minorEastAsia" w:hAnsiTheme="minorEastAsia"/>
          <w:bCs/>
          <w:szCs w:val="21"/>
        </w:rPr>
        <w:t>天，定作人有权单方面解除本合同并拒付全部合同款；若承揽人因延期完成、交付承揽项目给定作人生产经营造成了损失，承揽人要另行赔偿因此给定作人造成的全部损失。</w:t>
      </w:r>
    </w:p>
    <w:p w14:paraId="4C17D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rPr>
      </w:pPr>
      <w:r>
        <w:rPr>
          <w:rFonts w:hint="eastAsia" w:asciiTheme="minorEastAsia" w:hAnsiTheme="minorEastAsia"/>
          <w:bCs/>
          <w:szCs w:val="21"/>
          <w:lang w:val="en-US" w:eastAsia="zh-CN"/>
        </w:rPr>
        <w:t>2、</w:t>
      </w:r>
      <w:r>
        <w:rPr>
          <w:rFonts w:hint="eastAsia" w:asciiTheme="minorEastAsia" w:hAnsiTheme="minorEastAsia"/>
          <w:bCs/>
          <w:szCs w:val="21"/>
        </w:rPr>
        <w:t>因承揽项目质量问题给</w:t>
      </w:r>
      <w:r>
        <w:rPr>
          <w:rFonts w:hint="eastAsia" w:asciiTheme="minorEastAsia" w:hAnsiTheme="minorEastAsia"/>
          <w:bCs/>
          <w:szCs w:val="21"/>
          <w:lang w:eastAsia="zh-CN"/>
        </w:rPr>
        <w:t>定作人</w:t>
      </w:r>
      <w:r>
        <w:rPr>
          <w:rFonts w:hint="eastAsia" w:asciiTheme="minorEastAsia" w:hAnsiTheme="minorEastAsia"/>
          <w:bCs/>
          <w:szCs w:val="21"/>
        </w:rPr>
        <w:t>造成的全部损失，由承揽</w:t>
      </w:r>
      <w:r>
        <w:rPr>
          <w:rFonts w:hint="eastAsia" w:asciiTheme="minorEastAsia" w:hAnsiTheme="minorEastAsia"/>
          <w:bCs/>
          <w:szCs w:val="21"/>
          <w:lang w:val="en-US" w:eastAsia="zh-CN"/>
        </w:rPr>
        <w:t>人</w:t>
      </w:r>
      <w:r>
        <w:rPr>
          <w:rFonts w:hint="eastAsia" w:asciiTheme="minorEastAsia" w:hAnsiTheme="minorEastAsia"/>
          <w:bCs/>
          <w:szCs w:val="21"/>
        </w:rPr>
        <w:t>进行赔偿。</w:t>
      </w:r>
    </w:p>
    <w:p w14:paraId="5FAD8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rPr>
      </w:pPr>
      <w:r>
        <w:rPr>
          <w:rFonts w:hint="eastAsia" w:asciiTheme="minorEastAsia" w:hAnsiTheme="minorEastAsia"/>
          <w:bCs/>
          <w:szCs w:val="21"/>
        </w:rPr>
        <w:t>3、质保期内，如承揽人未能按照本合同及</w:t>
      </w:r>
      <w:r>
        <w:rPr>
          <w:rFonts w:hint="eastAsia" w:asciiTheme="minorEastAsia" w:hAnsiTheme="minorEastAsia"/>
          <w:bCs/>
          <w:szCs w:val="21"/>
          <w:lang w:eastAsia="zh-CN"/>
        </w:rPr>
        <w:t>定作人</w:t>
      </w:r>
      <w:r>
        <w:rPr>
          <w:rFonts w:hint="eastAsia" w:asciiTheme="minorEastAsia" w:hAnsiTheme="minorEastAsia"/>
          <w:bCs/>
          <w:szCs w:val="21"/>
        </w:rPr>
        <w:t>要求履行质保义务，</w:t>
      </w:r>
      <w:r>
        <w:rPr>
          <w:rFonts w:hint="eastAsia" w:asciiTheme="minorEastAsia" w:hAnsiTheme="minorEastAsia"/>
          <w:bCs/>
          <w:szCs w:val="21"/>
          <w:lang w:eastAsia="zh-CN"/>
        </w:rPr>
        <w:t>定作人</w:t>
      </w:r>
      <w:r>
        <w:rPr>
          <w:rFonts w:hint="eastAsia" w:asciiTheme="minorEastAsia" w:hAnsiTheme="minorEastAsia"/>
          <w:bCs/>
          <w:szCs w:val="21"/>
        </w:rPr>
        <w:t>有权自行或委托第三人实施维修，所需全部费用均由承揽人承担。</w:t>
      </w:r>
    </w:p>
    <w:p w14:paraId="5E8C6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rPr>
      </w:pPr>
      <w:r>
        <w:rPr>
          <w:rFonts w:hint="eastAsia" w:asciiTheme="minorEastAsia" w:hAnsiTheme="minorEastAsia"/>
          <w:bCs/>
          <w:szCs w:val="21"/>
        </w:rPr>
        <w:t>第十条：合同争议的解决方式：因本合同引起的纠纷争议，经双方先行协商解决未果后，在济南市章丘区人民法院诉讼解决。</w:t>
      </w:r>
    </w:p>
    <w:p w14:paraId="3140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rPr>
      </w:pPr>
      <w:r>
        <w:rPr>
          <w:rFonts w:hint="eastAsia" w:asciiTheme="minorEastAsia" w:hAnsiTheme="minorEastAsia"/>
          <w:bCs/>
          <w:szCs w:val="21"/>
        </w:rPr>
        <w:t>第十</w:t>
      </w:r>
      <w:r>
        <w:rPr>
          <w:rFonts w:hint="eastAsia" w:asciiTheme="minorEastAsia" w:hAnsiTheme="minorEastAsia"/>
          <w:bCs/>
          <w:szCs w:val="21"/>
          <w:lang w:val="en-US" w:eastAsia="zh-CN"/>
        </w:rPr>
        <w:t>一</w:t>
      </w:r>
      <w:r>
        <w:rPr>
          <w:rFonts w:hint="eastAsia" w:asciiTheme="minorEastAsia" w:hAnsiTheme="minorEastAsia"/>
          <w:bCs/>
          <w:szCs w:val="21"/>
        </w:rPr>
        <w:t>条：其他约定事项：</w:t>
      </w:r>
    </w:p>
    <w:p w14:paraId="732CEA91">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承揽项目在未交付</w:t>
      </w:r>
      <w:r>
        <w:rPr>
          <w:rFonts w:hint="eastAsia" w:asciiTheme="majorEastAsia" w:hAnsiTheme="majorEastAsia" w:eastAsiaTheme="majorEastAsia" w:cstheme="majorEastAsia"/>
          <w:color w:val="000000"/>
          <w:sz w:val="21"/>
          <w:szCs w:val="21"/>
          <w:lang w:eastAsia="zh-CN"/>
        </w:rPr>
        <w:t>定作人</w:t>
      </w:r>
      <w:r>
        <w:rPr>
          <w:rFonts w:hint="eastAsia" w:asciiTheme="majorEastAsia" w:hAnsiTheme="majorEastAsia" w:eastAsiaTheme="majorEastAsia" w:cstheme="majorEastAsia"/>
          <w:color w:val="000000"/>
          <w:sz w:val="21"/>
          <w:szCs w:val="21"/>
        </w:rPr>
        <w:t>前发生毁损或灭失等风险及责任由承揽人承担，且承揽人要赔偿因此给</w:t>
      </w:r>
      <w:r>
        <w:rPr>
          <w:rFonts w:hint="eastAsia" w:asciiTheme="majorEastAsia" w:hAnsiTheme="majorEastAsia" w:eastAsiaTheme="majorEastAsia" w:cstheme="majorEastAsia"/>
          <w:color w:val="000000"/>
          <w:sz w:val="21"/>
          <w:szCs w:val="21"/>
          <w:lang w:eastAsia="zh-CN"/>
        </w:rPr>
        <w:t>定作人</w:t>
      </w:r>
      <w:r>
        <w:rPr>
          <w:rFonts w:hint="eastAsia" w:asciiTheme="majorEastAsia" w:hAnsiTheme="majorEastAsia" w:eastAsiaTheme="majorEastAsia" w:cstheme="majorEastAsia"/>
          <w:color w:val="000000"/>
          <w:sz w:val="21"/>
          <w:szCs w:val="21"/>
        </w:rPr>
        <w:t>造成的全部损失。</w:t>
      </w:r>
    </w:p>
    <w:p w14:paraId="6788399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承揽人承诺承揽人实施的承揽行为已获得国家合法有效许可，实施承揽项目所使用的各种材料、配件、备件的生产及销售均已获得国家合法有效许可，其质量、安全标准符合国家现行合法有效标准，否则，因此导致的一切后果由承揽人承担，并赔偿因此给定作人造成的全部损失。</w:t>
      </w:r>
      <w:bookmarkStart w:id="213" w:name="_GoBack"/>
      <w:bookmarkEnd w:id="213"/>
    </w:p>
    <w:p w14:paraId="1F20656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本合同签订的同时，承揽人已阅知《入厂安全公告》（简称：公告），并已明确公告的全部内容，承诺严格遵守公告的规定，如有违反，承揽人承诺自行承担全部责任，因违反公告规定给定作人造成的全部损失（包括但不限于定作人因赔偿第三人而受到的全部损失）由承揽人负责赔偿。</w:t>
      </w:r>
    </w:p>
    <w:p w14:paraId="4BA8220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因承揽人原因导致发生的一切事故，其责任及损失赔偿均由承揽人全部承担，如因此给</w:t>
      </w:r>
      <w:r>
        <w:rPr>
          <w:rFonts w:hint="eastAsia" w:asciiTheme="majorEastAsia" w:hAnsiTheme="majorEastAsia" w:eastAsiaTheme="majorEastAsia" w:cstheme="majorEastAsia"/>
          <w:color w:val="000000"/>
          <w:sz w:val="21"/>
          <w:szCs w:val="21"/>
          <w:lang w:eastAsia="zh-CN"/>
        </w:rPr>
        <w:t>定作人</w:t>
      </w:r>
      <w:r>
        <w:rPr>
          <w:rFonts w:hint="eastAsia" w:asciiTheme="majorEastAsia" w:hAnsiTheme="majorEastAsia" w:eastAsiaTheme="majorEastAsia" w:cstheme="majorEastAsia"/>
          <w:color w:val="000000"/>
          <w:sz w:val="21"/>
          <w:szCs w:val="21"/>
        </w:rPr>
        <w:t>造成损失，承揽还要另行赔偿因此给</w:t>
      </w:r>
      <w:r>
        <w:rPr>
          <w:rFonts w:hint="eastAsia" w:asciiTheme="majorEastAsia" w:hAnsiTheme="majorEastAsia" w:eastAsiaTheme="majorEastAsia" w:cstheme="majorEastAsia"/>
          <w:color w:val="000000"/>
          <w:sz w:val="21"/>
          <w:szCs w:val="21"/>
          <w:lang w:eastAsia="zh-CN"/>
        </w:rPr>
        <w:t>定作人</w:t>
      </w:r>
      <w:r>
        <w:rPr>
          <w:rFonts w:hint="eastAsia" w:asciiTheme="majorEastAsia" w:hAnsiTheme="majorEastAsia" w:eastAsiaTheme="majorEastAsia" w:cstheme="majorEastAsia"/>
          <w:color w:val="000000"/>
          <w:sz w:val="21"/>
          <w:szCs w:val="21"/>
        </w:rPr>
        <w:t>造成的全部损失（包括但不限于因</w:t>
      </w:r>
      <w:r>
        <w:rPr>
          <w:rFonts w:hint="eastAsia" w:asciiTheme="majorEastAsia" w:hAnsiTheme="majorEastAsia" w:eastAsiaTheme="majorEastAsia" w:cstheme="majorEastAsia"/>
          <w:color w:val="000000"/>
          <w:sz w:val="21"/>
          <w:szCs w:val="21"/>
          <w:lang w:eastAsia="zh-CN"/>
        </w:rPr>
        <w:t>定作人</w:t>
      </w:r>
      <w:r>
        <w:rPr>
          <w:rFonts w:hint="eastAsia" w:asciiTheme="majorEastAsia" w:hAnsiTheme="majorEastAsia" w:eastAsiaTheme="majorEastAsia" w:cstheme="majorEastAsia"/>
          <w:color w:val="000000"/>
          <w:sz w:val="21"/>
          <w:szCs w:val="21"/>
        </w:rPr>
        <w:t>赔偿第三人而受到的全部损失）。</w:t>
      </w:r>
    </w:p>
    <w:p w14:paraId="52ABF8A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承揽人</w:t>
      </w:r>
      <w:r>
        <w:rPr>
          <w:rFonts w:hint="eastAsia" w:asciiTheme="majorEastAsia" w:hAnsiTheme="majorEastAsia" w:eastAsiaTheme="majorEastAsia" w:cstheme="majorEastAsia"/>
          <w:color w:val="000000"/>
          <w:sz w:val="21"/>
          <w:szCs w:val="21"/>
        </w:rPr>
        <w:t>负责刷卡放料及待装车辆的指挥引导工作，撒漏料和粉料及时清运至</w:t>
      </w:r>
      <w:r>
        <w:rPr>
          <w:rFonts w:hint="eastAsia" w:asciiTheme="majorEastAsia" w:hAnsiTheme="majorEastAsia" w:eastAsiaTheme="majorEastAsia" w:cstheme="majorEastAsia"/>
          <w:color w:val="000000"/>
          <w:sz w:val="21"/>
          <w:szCs w:val="21"/>
          <w:lang w:eastAsia="zh-CN"/>
        </w:rPr>
        <w:t>定作人</w:t>
      </w:r>
      <w:r>
        <w:rPr>
          <w:rFonts w:hint="eastAsia" w:asciiTheme="majorEastAsia" w:hAnsiTheme="majorEastAsia" w:eastAsiaTheme="majorEastAsia" w:cstheme="majorEastAsia"/>
          <w:color w:val="000000"/>
          <w:sz w:val="21"/>
          <w:szCs w:val="21"/>
        </w:rPr>
        <w:t>指定地点。按照</w:t>
      </w:r>
      <w:r>
        <w:rPr>
          <w:rFonts w:hint="eastAsia" w:asciiTheme="majorEastAsia" w:hAnsiTheme="majorEastAsia" w:eastAsiaTheme="majorEastAsia" w:cstheme="majorEastAsia"/>
          <w:color w:val="000000"/>
          <w:sz w:val="21"/>
          <w:szCs w:val="21"/>
          <w:lang w:eastAsia="zh-CN"/>
        </w:rPr>
        <w:t>定作人</w:t>
      </w:r>
      <w:r>
        <w:rPr>
          <w:rFonts w:hint="eastAsia" w:asciiTheme="majorEastAsia" w:hAnsiTheme="majorEastAsia" w:eastAsiaTheme="majorEastAsia" w:cstheme="majorEastAsia"/>
          <w:color w:val="000000"/>
          <w:sz w:val="21"/>
          <w:szCs w:val="21"/>
        </w:rPr>
        <w:t>要求具备24小时作业保证外发需求的条件，筛分能力不低于6车/时，确保完成</w:t>
      </w:r>
      <w:r>
        <w:rPr>
          <w:rFonts w:hint="eastAsia" w:asciiTheme="majorEastAsia" w:hAnsiTheme="majorEastAsia" w:eastAsiaTheme="majorEastAsia" w:cstheme="majorEastAsia"/>
          <w:color w:val="000000"/>
          <w:sz w:val="21"/>
          <w:szCs w:val="21"/>
          <w:lang w:eastAsia="zh-CN"/>
        </w:rPr>
        <w:t>定作人</w:t>
      </w:r>
      <w:r>
        <w:rPr>
          <w:rFonts w:hint="eastAsia" w:asciiTheme="majorEastAsia" w:hAnsiTheme="majorEastAsia" w:eastAsiaTheme="majorEastAsia" w:cstheme="majorEastAsia"/>
          <w:color w:val="000000"/>
          <w:sz w:val="21"/>
          <w:szCs w:val="21"/>
        </w:rPr>
        <w:t>的销售加工量。</w:t>
      </w:r>
    </w:p>
    <w:p w14:paraId="65C3B8A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承揽人</w:t>
      </w:r>
      <w:r>
        <w:rPr>
          <w:rFonts w:hint="eastAsia" w:asciiTheme="majorEastAsia" w:hAnsiTheme="majorEastAsia" w:eastAsiaTheme="majorEastAsia" w:cstheme="majorEastAsia"/>
          <w:color w:val="000000"/>
          <w:sz w:val="21"/>
          <w:szCs w:val="21"/>
        </w:rPr>
        <w:t>筛分设备安装到位，北侧为外销装车点。皮带设备可伸缩移动，保证自接到</w:t>
      </w:r>
      <w:r>
        <w:rPr>
          <w:rFonts w:hint="eastAsia" w:asciiTheme="majorEastAsia" w:hAnsiTheme="majorEastAsia" w:eastAsiaTheme="majorEastAsia" w:cstheme="majorEastAsia"/>
          <w:color w:val="000000"/>
          <w:sz w:val="21"/>
          <w:szCs w:val="21"/>
          <w:lang w:eastAsia="zh-CN"/>
        </w:rPr>
        <w:t>定作人</w:t>
      </w:r>
      <w:r>
        <w:rPr>
          <w:rFonts w:hint="eastAsia" w:asciiTheme="majorEastAsia" w:hAnsiTheme="majorEastAsia" w:eastAsiaTheme="majorEastAsia" w:cstheme="majorEastAsia"/>
          <w:color w:val="000000"/>
          <w:sz w:val="21"/>
          <w:szCs w:val="21"/>
        </w:rPr>
        <w:t>通知15分钟内，设备快速收至成品仓底（快速堆积门内）。</w:t>
      </w:r>
    </w:p>
    <w:p w14:paraId="0BAFF90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val="en-US" w:eastAsia="zh-CN"/>
        </w:rPr>
        <w:t>承揽人必须采取有效的环保措施，筛分作业不得因扬尘造成大气污染，筛分工序要在密闭环境中进行，</w:t>
      </w:r>
      <w:r>
        <w:rPr>
          <w:rFonts w:hint="eastAsia" w:asciiTheme="majorEastAsia" w:hAnsiTheme="majorEastAsia" w:eastAsiaTheme="majorEastAsia" w:cstheme="majorEastAsia"/>
          <w:color w:val="auto"/>
          <w:sz w:val="21"/>
          <w:szCs w:val="21"/>
        </w:rPr>
        <w:t>生产作业时南门要落下</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筛</w:t>
      </w:r>
      <w:r>
        <w:rPr>
          <w:rFonts w:hint="eastAsia" w:asciiTheme="majorEastAsia" w:hAnsiTheme="majorEastAsia" w:eastAsiaTheme="majorEastAsia" w:cstheme="majorEastAsia"/>
          <w:color w:val="auto"/>
          <w:sz w:val="21"/>
          <w:szCs w:val="21"/>
        </w:rPr>
        <w:t>仓底北门</w:t>
      </w:r>
      <w:r>
        <w:rPr>
          <w:rFonts w:hint="eastAsia" w:asciiTheme="majorEastAsia" w:hAnsiTheme="majorEastAsia" w:eastAsiaTheme="majorEastAsia" w:cstheme="majorEastAsia"/>
          <w:color w:val="auto"/>
          <w:sz w:val="21"/>
          <w:szCs w:val="21"/>
          <w:lang w:val="en-US" w:eastAsia="zh-CN"/>
        </w:rPr>
        <w:t>也要</w:t>
      </w:r>
      <w:r>
        <w:rPr>
          <w:rFonts w:hint="eastAsia" w:asciiTheme="majorEastAsia" w:hAnsiTheme="majorEastAsia" w:eastAsiaTheme="majorEastAsia" w:cstheme="majorEastAsia"/>
          <w:color w:val="auto"/>
          <w:sz w:val="21"/>
          <w:szCs w:val="21"/>
        </w:rPr>
        <w:t>简单封闭</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筛分现场配有</w:t>
      </w:r>
      <w:r>
        <w:rPr>
          <w:rFonts w:hint="eastAsia" w:asciiTheme="majorEastAsia" w:hAnsiTheme="majorEastAsia" w:eastAsiaTheme="majorEastAsia" w:cstheme="majorEastAsia"/>
          <w:color w:val="auto"/>
          <w:sz w:val="21"/>
          <w:szCs w:val="21"/>
        </w:rPr>
        <w:t>高压喷淋抑尘装置，</w:t>
      </w:r>
      <w:r>
        <w:rPr>
          <w:rFonts w:hint="eastAsia" w:asciiTheme="majorEastAsia" w:hAnsiTheme="majorEastAsia" w:eastAsiaTheme="majorEastAsia" w:cstheme="majorEastAsia"/>
          <w:color w:val="auto"/>
          <w:sz w:val="21"/>
          <w:szCs w:val="21"/>
          <w:lang w:val="en-US" w:eastAsia="zh-CN"/>
        </w:rPr>
        <w:t>喷淋抑尘装置必须保持完好可用，筛分作业前要先开启喷淋设施方可筛分生产</w:t>
      </w:r>
      <w:r>
        <w:rPr>
          <w:rFonts w:hint="eastAsia" w:asciiTheme="majorEastAsia" w:hAnsiTheme="majorEastAsia" w:eastAsiaTheme="majorEastAsia" w:cstheme="majorEastAsia"/>
          <w:color w:val="auto"/>
          <w:sz w:val="21"/>
          <w:szCs w:val="21"/>
        </w:rPr>
        <w:t>。</w:t>
      </w:r>
    </w:p>
    <w:p w14:paraId="6995578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val="en-US" w:eastAsia="zh-CN"/>
        </w:rPr>
        <w:t>具备以下条件之一：合同到期；合同限额达到上限；</w:t>
      </w:r>
      <w:r>
        <w:rPr>
          <w:rFonts w:hint="eastAsia" w:asciiTheme="majorEastAsia" w:hAnsiTheme="majorEastAsia" w:eastAsiaTheme="majorEastAsia" w:cstheme="majorEastAsia"/>
          <w:color w:val="auto"/>
          <w:sz w:val="21"/>
          <w:szCs w:val="21"/>
          <w:lang w:eastAsia="zh-CN"/>
        </w:rPr>
        <w:t>定作人</w:t>
      </w:r>
      <w:r>
        <w:rPr>
          <w:rFonts w:hint="eastAsia" w:asciiTheme="majorEastAsia" w:hAnsiTheme="majorEastAsia" w:eastAsiaTheme="majorEastAsia" w:cstheme="majorEastAsia"/>
          <w:color w:val="auto"/>
          <w:sz w:val="21"/>
          <w:szCs w:val="21"/>
        </w:rPr>
        <w:t>具备自行生产条件</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该产品没有市场需求；承揽方</w:t>
      </w:r>
      <w:r>
        <w:rPr>
          <w:rFonts w:hint="eastAsia" w:asciiTheme="majorEastAsia" w:hAnsiTheme="majorEastAsia" w:eastAsiaTheme="majorEastAsia" w:cstheme="majorEastAsia"/>
          <w:color w:val="auto"/>
          <w:sz w:val="21"/>
          <w:szCs w:val="21"/>
        </w:rPr>
        <w:t>不具备继续加工筛分条件，</w:t>
      </w:r>
      <w:r>
        <w:rPr>
          <w:rFonts w:hint="eastAsia" w:asciiTheme="majorEastAsia" w:hAnsiTheme="majorEastAsia" w:eastAsiaTheme="majorEastAsia" w:cstheme="majorEastAsia"/>
          <w:color w:val="auto"/>
          <w:sz w:val="21"/>
          <w:szCs w:val="21"/>
          <w:lang w:eastAsia="zh-CN"/>
        </w:rPr>
        <w:t>承揽人</w:t>
      </w:r>
      <w:r>
        <w:rPr>
          <w:rFonts w:hint="eastAsia" w:asciiTheme="majorEastAsia" w:hAnsiTheme="majorEastAsia" w:eastAsiaTheme="majorEastAsia" w:cstheme="majorEastAsia"/>
          <w:color w:val="auto"/>
          <w:sz w:val="21"/>
          <w:szCs w:val="21"/>
        </w:rPr>
        <w:t>应根据</w:t>
      </w:r>
      <w:r>
        <w:rPr>
          <w:rFonts w:hint="eastAsia" w:asciiTheme="majorEastAsia" w:hAnsiTheme="majorEastAsia" w:eastAsiaTheme="majorEastAsia" w:cstheme="majorEastAsia"/>
          <w:color w:val="auto"/>
          <w:sz w:val="21"/>
          <w:szCs w:val="21"/>
          <w:lang w:eastAsia="zh-CN"/>
        </w:rPr>
        <w:t>定作人</w:t>
      </w:r>
      <w:r>
        <w:rPr>
          <w:rFonts w:hint="eastAsia" w:asciiTheme="majorEastAsia" w:hAnsiTheme="majorEastAsia" w:eastAsiaTheme="majorEastAsia" w:cstheme="majorEastAsia"/>
          <w:color w:val="auto"/>
          <w:sz w:val="21"/>
          <w:szCs w:val="21"/>
        </w:rPr>
        <w:t>要求</w:t>
      </w:r>
      <w:r>
        <w:rPr>
          <w:rFonts w:hint="eastAsia" w:asciiTheme="majorEastAsia" w:hAnsiTheme="majorEastAsia" w:eastAsiaTheme="majorEastAsia" w:cstheme="majorEastAsia"/>
          <w:color w:val="auto"/>
          <w:sz w:val="21"/>
          <w:szCs w:val="21"/>
          <w:lang w:val="en-US" w:eastAsia="zh-CN"/>
        </w:rPr>
        <w:t>3天内</w:t>
      </w:r>
      <w:r>
        <w:rPr>
          <w:rFonts w:hint="eastAsia" w:asciiTheme="majorEastAsia" w:hAnsiTheme="majorEastAsia" w:eastAsiaTheme="majorEastAsia" w:cstheme="majorEastAsia"/>
          <w:color w:val="auto"/>
          <w:sz w:val="21"/>
          <w:szCs w:val="21"/>
        </w:rPr>
        <w:t>无条件停止并撤离</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承揽人逾期不撤离给定作人造成经济损失，要赔偿定作人的经济损失</w:t>
      </w:r>
      <w:r>
        <w:rPr>
          <w:rFonts w:hint="eastAsia" w:asciiTheme="majorEastAsia" w:hAnsiTheme="majorEastAsia" w:eastAsiaTheme="majorEastAsia" w:cstheme="majorEastAsia"/>
          <w:color w:val="auto"/>
          <w:sz w:val="21"/>
          <w:szCs w:val="21"/>
        </w:rPr>
        <w:t>。</w:t>
      </w:r>
    </w:p>
    <w:p w14:paraId="12C5C67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20" w:firstLineChars="200"/>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车辆设备等进入</w:t>
      </w:r>
      <w:r>
        <w:rPr>
          <w:rFonts w:hint="eastAsia" w:asciiTheme="majorEastAsia" w:hAnsiTheme="majorEastAsia" w:eastAsiaTheme="majorEastAsia" w:cstheme="majorEastAsia"/>
          <w:color w:val="000000"/>
          <w:sz w:val="21"/>
          <w:szCs w:val="21"/>
          <w:lang w:eastAsia="zh-CN"/>
        </w:rPr>
        <w:t>定作人</w:t>
      </w:r>
      <w:r>
        <w:rPr>
          <w:rFonts w:hint="eastAsia" w:asciiTheme="majorEastAsia" w:hAnsiTheme="majorEastAsia" w:eastAsiaTheme="majorEastAsia" w:cstheme="majorEastAsia"/>
          <w:color w:val="000000"/>
          <w:sz w:val="21"/>
          <w:szCs w:val="21"/>
        </w:rPr>
        <w:t>现场后，</w:t>
      </w:r>
      <w:r>
        <w:rPr>
          <w:rFonts w:hint="eastAsia" w:asciiTheme="majorEastAsia" w:hAnsiTheme="majorEastAsia" w:eastAsiaTheme="majorEastAsia" w:cstheme="majorEastAsia"/>
          <w:color w:val="000000"/>
          <w:sz w:val="21"/>
          <w:szCs w:val="21"/>
          <w:lang w:eastAsia="zh-CN"/>
        </w:rPr>
        <w:t>承揽人</w:t>
      </w:r>
      <w:r>
        <w:rPr>
          <w:rFonts w:hint="eastAsia" w:asciiTheme="majorEastAsia" w:hAnsiTheme="majorEastAsia" w:eastAsiaTheme="majorEastAsia" w:cstheme="majorEastAsia"/>
          <w:color w:val="000000"/>
          <w:sz w:val="21"/>
          <w:szCs w:val="21"/>
        </w:rPr>
        <w:t>相关人员应服从</w:t>
      </w:r>
      <w:r>
        <w:rPr>
          <w:rFonts w:hint="eastAsia" w:asciiTheme="majorEastAsia" w:hAnsiTheme="majorEastAsia" w:eastAsiaTheme="majorEastAsia" w:cstheme="majorEastAsia"/>
          <w:color w:val="000000"/>
          <w:sz w:val="21"/>
          <w:szCs w:val="21"/>
          <w:lang w:eastAsia="zh-CN"/>
        </w:rPr>
        <w:t>定作人</w:t>
      </w:r>
      <w:r>
        <w:rPr>
          <w:rFonts w:hint="eastAsia" w:asciiTheme="majorEastAsia" w:hAnsiTheme="majorEastAsia" w:eastAsiaTheme="majorEastAsia" w:cstheme="majorEastAsia"/>
          <w:color w:val="000000"/>
          <w:sz w:val="21"/>
          <w:szCs w:val="21"/>
        </w:rPr>
        <w:t>现场管理人员的调度与指挥，接受</w:t>
      </w:r>
      <w:r>
        <w:rPr>
          <w:rFonts w:hint="eastAsia" w:asciiTheme="majorEastAsia" w:hAnsiTheme="majorEastAsia" w:eastAsiaTheme="majorEastAsia" w:cstheme="majorEastAsia"/>
          <w:color w:val="000000"/>
          <w:sz w:val="21"/>
          <w:szCs w:val="21"/>
          <w:lang w:eastAsia="zh-CN"/>
        </w:rPr>
        <w:t>定作人</w:t>
      </w:r>
      <w:r>
        <w:rPr>
          <w:rFonts w:hint="eastAsia" w:asciiTheme="majorEastAsia" w:hAnsiTheme="majorEastAsia" w:eastAsiaTheme="majorEastAsia" w:cstheme="majorEastAsia"/>
          <w:color w:val="000000"/>
          <w:sz w:val="21"/>
          <w:szCs w:val="21"/>
        </w:rPr>
        <w:t>检查，并遵守</w:t>
      </w:r>
      <w:r>
        <w:rPr>
          <w:rFonts w:hint="eastAsia" w:asciiTheme="majorEastAsia" w:hAnsiTheme="majorEastAsia" w:eastAsiaTheme="majorEastAsia" w:cstheme="majorEastAsia"/>
          <w:color w:val="000000"/>
          <w:sz w:val="21"/>
          <w:szCs w:val="21"/>
          <w:lang w:eastAsia="zh-CN"/>
        </w:rPr>
        <w:t>定作人</w:t>
      </w:r>
      <w:r>
        <w:rPr>
          <w:rFonts w:hint="eastAsia" w:asciiTheme="majorEastAsia" w:hAnsiTheme="majorEastAsia" w:eastAsiaTheme="majorEastAsia" w:cstheme="majorEastAsia"/>
          <w:color w:val="000000"/>
          <w:sz w:val="21"/>
          <w:szCs w:val="21"/>
        </w:rPr>
        <w:t>现场的规章制度和相关作业标准。</w:t>
      </w:r>
    </w:p>
    <w:p w14:paraId="111B1C69">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20" w:firstLineChars="200"/>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因</w:t>
      </w:r>
      <w:r>
        <w:rPr>
          <w:rFonts w:hint="eastAsia" w:asciiTheme="majorEastAsia" w:hAnsiTheme="majorEastAsia" w:eastAsiaTheme="majorEastAsia" w:cstheme="majorEastAsia"/>
          <w:color w:val="000000"/>
          <w:sz w:val="21"/>
          <w:szCs w:val="21"/>
          <w:lang w:eastAsia="zh-CN"/>
        </w:rPr>
        <w:t>承揽人</w:t>
      </w:r>
      <w:r>
        <w:rPr>
          <w:rFonts w:hint="eastAsia" w:asciiTheme="majorEastAsia" w:hAnsiTheme="majorEastAsia" w:eastAsiaTheme="majorEastAsia" w:cstheme="majorEastAsia"/>
          <w:color w:val="000000"/>
          <w:sz w:val="21"/>
          <w:szCs w:val="21"/>
        </w:rPr>
        <w:t>操作人员造成的设备事故、生产事故、质量事故和安全事故，</w:t>
      </w:r>
      <w:r>
        <w:rPr>
          <w:rFonts w:hint="eastAsia" w:asciiTheme="majorEastAsia" w:hAnsiTheme="majorEastAsia" w:eastAsiaTheme="majorEastAsia" w:cstheme="majorEastAsia"/>
          <w:color w:val="000000"/>
          <w:sz w:val="21"/>
          <w:szCs w:val="21"/>
          <w:lang w:eastAsia="zh-CN"/>
        </w:rPr>
        <w:t>承揽人</w:t>
      </w:r>
      <w:r>
        <w:rPr>
          <w:rFonts w:hint="eastAsia" w:asciiTheme="majorEastAsia" w:hAnsiTheme="majorEastAsia" w:eastAsiaTheme="majorEastAsia" w:cstheme="majorEastAsia"/>
          <w:color w:val="000000"/>
          <w:sz w:val="21"/>
          <w:szCs w:val="21"/>
        </w:rPr>
        <w:t>承担全部责任，因事故给</w:t>
      </w:r>
      <w:r>
        <w:rPr>
          <w:rFonts w:hint="eastAsia" w:asciiTheme="majorEastAsia" w:hAnsiTheme="majorEastAsia" w:eastAsiaTheme="majorEastAsia" w:cstheme="majorEastAsia"/>
          <w:color w:val="000000"/>
          <w:sz w:val="21"/>
          <w:szCs w:val="21"/>
          <w:lang w:eastAsia="zh-CN"/>
        </w:rPr>
        <w:t>定作人</w:t>
      </w:r>
      <w:r>
        <w:rPr>
          <w:rFonts w:hint="eastAsia" w:asciiTheme="majorEastAsia" w:hAnsiTheme="majorEastAsia" w:eastAsiaTheme="majorEastAsia" w:cstheme="majorEastAsia"/>
          <w:color w:val="000000"/>
          <w:sz w:val="21"/>
          <w:szCs w:val="21"/>
        </w:rPr>
        <w:t>造成的损失，由</w:t>
      </w:r>
      <w:r>
        <w:rPr>
          <w:rFonts w:hint="eastAsia" w:asciiTheme="majorEastAsia" w:hAnsiTheme="majorEastAsia" w:eastAsiaTheme="majorEastAsia" w:cstheme="majorEastAsia"/>
          <w:color w:val="000000"/>
          <w:sz w:val="21"/>
          <w:szCs w:val="21"/>
          <w:lang w:eastAsia="zh-CN"/>
        </w:rPr>
        <w:t>承揽人</w:t>
      </w:r>
      <w:r>
        <w:rPr>
          <w:rFonts w:hint="eastAsia" w:asciiTheme="majorEastAsia" w:hAnsiTheme="majorEastAsia" w:eastAsiaTheme="majorEastAsia" w:cstheme="majorEastAsia"/>
          <w:color w:val="000000"/>
          <w:sz w:val="21"/>
          <w:szCs w:val="21"/>
        </w:rPr>
        <w:t>进行全额赔偿</w:t>
      </w:r>
      <w:r>
        <w:rPr>
          <w:rFonts w:hint="eastAsia" w:asciiTheme="majorEastAsia" w:hAnsiTheme="majorEastAsia" w:eastAsiaTheme="majorEastAsia" w:cstheme="majorEastAsia"/>
          <w:color w:val="000000"/>
          <w:sz w:val="21"/>
          <w:szCs w:val="21"/>
          <w:lang w:eastAsia="zh-CN"/>
        </w:rPr>
        <w:t>。</w:t>
      </w:r>
    </w:p>
    <w:p w14:paraId="52FB179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承揽人不得雇佣60岁以上、有重大疾病（如心脏病、脑梗等）的人员，否则出现事故由承揽方负全责，定作方不负连带责任。</w:t>
      </w:r>
    </w:p>
    <w:p w14:paraId="57CCD9D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廉洁规定及处罚：承揽方员工在产品外发（发料、装车）业务中被发现违规违纪行为，如接受客户贿赂、故意拖延发料或装车时间、装不满、装过满、装偏料以及“以好充次”等谋取私利的行为第一次发现从当月结算费用扣减10000元，并责令辞退违规违纪人员；第二次发现从当月结算费用扣减30000元，责令其辞退违规违纪人员的同时做好解除协作合同的警示；第三次发现启动解除其协作合同程序，今后不得参与公司任何业务。公司专项整治行动领导小组同时介入调查，必要时上交集团纪委处置。</w:t>
      </w:r>
    </w:p>
    <w:p w14:paraId="30C01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rPr>
      </w:pPr>
      <w:r>
        <w:rPr>
          <w:rFonts w:hint="eastAsia" w:asciiTheme="minorEastAsia" w:hAnsiTheme="minorEastAsia"/>
          <w:bCs/>
          <w:szCs w:val="21"/>
          <w:lang w:val="en-US" w:eastAsia="zh-CN"/>
        </w:rPr>
        <w:t>第十二条：本合同一式六份，定作方四分，承揽方两份，经双方签字盖章后生效。</w:t>
      </w:r>
      <w:r>
        <w:rPr>
          <w:rFonts w:hint="eastAsia" w:asciiTheme="minorEastAsia" w:hAnsiTheme="minorEastAsia"/>
          <w:bCs/>
          <w:szCs w:val="21"/>
        </w:rPr>
        <w:t xml:space="preserve">                                </w:t>
      </w:r>
    </w:p>
    <w:p w14:paraId="5885E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rPr>
          <w:rFonts w:hint="eastAsia" w:asciiTheme="minorEastAsia" w:hAnsiTheme="minorEastAsia"/>
          <w:bCs/>
          <w:szCs w:val="21"/>
        </w:rPr>
      </w:pPr>
      <w:r>
        <w:rPr>
          <w:rFonts w:hint="eastAsia" w:asciiTheme="minorEastAsia" w:hAnsiTheme="minorEastAsia"/>
          <w:bCs/>
          <w:szCs w:val="21"/>
        </w:rPr>
        <w:t>合同附件一：廉洁协议书</w:t>
      </w:r>
    </w:p>
    <w:p w14:paraId="1341B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eastAsia" w:asciiTheme="minorEastAsia" w:hAnsiTheme="minorEastAsia"/>
          <w:bCs/>
          <w:szCs w:val="21"/>
        </w:rPr>
      </w:pPr>
    </w:p>
    <w:p w14:paraId="0FBC9A44">
      <w:pPr>
        <w:spacing w:line="400" w:lineRule="exact"/>
        <w:rPr>
          <w:b/>
          <w:color w:val="000000"/>
          <w:u w:val="single"/>
        </w:rPr>
      </w:pPr>
      <w:r>
        <w:rPr>
          <w:rFonts w:hint="eastAsia"/>
          <w:color w:val="000000"/>
        </w:rPr>
        <w:t xml:space="preserve">承揽人 ：                                     定作人：山东济钢环保新材料有限公司  </w:t>
      </w:r>
    </w:p>
    <w:p w14:paraId="1E86DC35">
      <w:pPr>
        <w:spacing w:line="400" w:lineRule="exact"/>
        <w:rPr>
          <w:color w:val="000000"/>
        </w:rPr>
      </w:pPr>
      <w:r>
        <w:rPr>
          <w:rFonts w:hint="eastAsia"/>
          <w:color w:val="000000"/>
        </w:rPr>
        <w:t>承揽人：(章)                                  定作人：(章)</w:t>
      </w:r>
    </w:p>
    <w:p w14:paraId="4C6DAF56">
      <w:pPr>
        <w:spacing w:line="400" w:lineRule="exact"/>
        <w:ind w:left="5460" w:hanging="5460" w:hangingChars="2600"/>
        <w:rPr>
          <w:color w:val="000000"/>
        </w:rPr>
      </w:pPr>
      <w:r>
        <w:rPr>
          <w:rFonts w:hint="eastAsia"/>
          <w:color w:val="000000"/>
        </w:rPr>
        <w:t>住所：                                        住所：</w:t>
      </w:r>
      <w:r>
        <w:rPr>
          <w:rFonts w:hint="eastAsia"/>
          <w:bCs/>
          <w:u w:val="single"/>
        </w:rPr>
        <w:t>山东省济南市章丘区官庄街道青野村东</w:t>
      </w:r>
    </w:p>
    <w:p w14:paraId="5C87CC7D">
      <w:pPr>
        <w:spacing w:line="400" w:lineRule="exact"/>
        <w:rPr>
          <w:color w:val="000000"/>
        </w:rPr>
      </w:pPr>
      <w:r>
        <w:rPr>
          <w:rFonts w:hint="eastAsia"/>
          <w:color w:val="000000"/>
        </w:rPr>
        <w:t>法定代表人：                                  法定代表人：</w:t>
      </w:r>
    </w:p>
    <w:p w14:paraId="447961AC">
      <w:pPr>
        <w:spacing w:line="400" w:lineRule="exact"/>
        <w:rPr>
          <w:color w:val="000000"/>
        </w:rPr>
      </w:pPr>
      <w:r>
        <w:rPr>
          <w:rFonts w:hint="eastAsia"/>
          <w:color w:val="000000"/>
        </w:rPr>
        <w:t>委托代理人：                                  委托代理人：</w:t>
      </w:r>
    </w:p>
    <w:p w14:paraId="39E04752">
      <w:pPr>
        <w:spacing w:line="400" w:lineRule="exact"/>
        <w:rPr>
          <w:color w:val="000000"/>
        </w:rPr>
      </w:pPr>
      <w:r>
        <w:rPr>
          <w:rFonts w:hint="eastAsia"/>
          <w:color w:val="000000"/>
        </w:rPr>
        <w:t>电话：                                        电话：0531-83790155</w:t>
      </w:r>
    </w:p>
    <w:p w14:paraId="629F711A">
      <w:pPr>
        <w:spacing w:line="400" w:lineRule="exact"/>
        <w:rPr>
          <w:color w:val="000000"/>
        </w:rPr>
      </w:pPr>
      <w:r>
        <w:rPr>
          <w:rFonts w:hint="eastAsia"/>
          <w:color w:val="000000"/>
        </w:rPr>
        <w:t>开户银行：                           开户银行 ：</w:t>
      </w:r>
      <w:r>
        <w:rPr>
          <w:rFonts w:hint="eastAsia" w:cs="仿宋_GB2312"/>
          <w:u w:val="single"/>
        </w:rPr>
        <w:t>中国民生银行济南章丘支行</w:t>
      </w:r>
      <w:r>
        <w:rPr>
          <w:rFonts w:hint="eastAsia"/>
          <w:color w:val="000000"/>
        </w:rPr>
        <w:t xml:space="preserve"> </w:t>
      </w:r>
    </w:p>
    <w:p w14:paraId="584D6838">
      <w:pPr>
        <w:spacing w:line="300" w:lineRule="auto"/>
        <w:ind w:right="600"/>
        <w:rPr>
          <w:rFonts w:ascii="Times New Roman" w:hAnsi="Times New Roman"/>
          <w:color w:val="000000"/>
        </w:rPr>
      </w:pPr>
    </w:p>
    <w:p w14:paraId="4EEB349E">
      <w:pPr>
        <w:pStyle w:val="29"/>
        <w:widowControl/>
        <w:spacing w:beforeLines="0" w:line="300" w:lineRule="auto"/>
        <w:ind w:left="1080"/>
        <w:rPr>
          <w:rFonts w:hint="eastAsia"/>
          <w:color w:val="000000"/>
        </w:rPr>
      </w:pPr>
    </w:p>
    <w:p w14:paraId="318BEE50">
      <w:pPr>
        <w:pStyle w:val="29"/>
        <w:widowControl/>
        <w:spacing w:beforeLines="0" w:line="300" w:lineRule="auto"/>
        <w:ind w:left="1080"/>
        <w:rPr>
          <w:rFonts w:hint="eastAsia"/>
          <w:color w:val="000000"/>
        </w:rPr>
      </w:pPr>
    </w:p>
    <w:p w14:paraId="1EA92924">
      <w:pPr>
        <w:pStyle w:val="29"/>
        <w:widowControl/>
        <w:spacing w:beforeLines="0" w:line="300" w:lineRule="auto"/>
        <w:ind w:left="1080"/>
        <w:rPr>
          <w:rFonts w:hint="eastAsia"/>
          <w:color w:val="000000"/>
        </w:rPr>
      </w:pPr>
    </w:p>
    <w:p w14:paraId="0C6106BF">
      <w:pPr>
        <w:pStyle w:val="29"/>
        <w:widowControl/>
        <w:spacing w:beforeLines="0" w:line="300" w:lineRule="auto"/>
        <w:ind w:left="1080"/>
        <w:rPr>
          <w:rFonts w:hint="eastAsia"/>
          <w:color w:val="000000"/>
        </w:rPr>
      </w:pPr>
    </w:p>
    <w:p w14:paraId="43D0E302">
      <w:pPr>
        <w:pStyle w:val="29"/>
        <w:widowControl/>
        <w:spacing w:beforeLines="0" w:line="300" w:lineRule="auto"/>
        <w:ind w:left="1080"/>
        <w:rPr>
          <w:rFonts w:hint="eastAsia"/>
          <w:color w:val="000000"/>
        </w:rPr>
      </w:pPr>
    </w:p>
    <w:p w14:paraId="66FAD976">
      <w:pPr>
        <w:pStyle w:val="29"/>
        <w:widowControl/>
        <w:spacing w:beforeLines="0" w:line="300" w:lineRule="auto"/>
        <w:ind w:left="1080"/>
        <w:rPr>
          <w:rFonts w:hint="eastAsia"/>
          <w:color w:val="000000"/>
        </w:rPr>
      </w:pPr>
    </w:p>
    <w:p w14:paraId="224A23A4">
      <w:pPr>
        <w:pStyle w:val="29"/>
        <w:widowControl/>
        <w:spacing w:beforeLines="0" w:line="300" w:lineRule="auto"/>
        <w:jc w:val="center"/>
        <w:rPr>
          <w:rFonts w:hint="default" w:eastAsia="黑体"/>
          <w:color w:val="000000"/>
          <w:sz w:val="36"/>
          <w:szCs w:val="36"/>
          <w:lang w:val="en-US" w:eastAsia="zh-CN"/>
        </w:rPr>
      </w:pPr>
      <w:r>
        <w:rPr>
          <w:rFonts w:hint="eastAsia"/>
          <w:color w:val="000000"/>
          <w:sz w:val="36"/>
          <w:szCs w:val="36"/>
        </w:rPr>
        <w:t>第</w:t>
      </w:r>
      <w:r>
        <w:rPr>
          <w:rFonts w:hint="eastAsia"/>
          <w:color w:val="000000"/>
          <w:sz w:val="36"/>
          <w:szCs w:val="36"/>
          <w:lang w:val="en-US" w:eastAsia="zh-CN"/>
        </w:rPr>
        <w:t>五</w:t>
      </w:r>
      <w:r>
        <w:rPr>
          <w:rFonts w:hint="eastAsia"/>
          <w:color w:val="000000"/>
          <w:sz w:val="36"/>
          <w:szCs w:val="36"/>
        </w:rPr>
        <w:t>章</w:t>
      </w:r>
      <w:r>
        <w:rPr>
          <w:color w:val="000000"/>
          <w:sz w:val="36"/>
          <w:szCs w:val="36"/>
        </w:rPr>
        <w:t xml:space="preserve"> </w:t>
      </w:r>
      <w:r>
        <w:rPr>
          <w:rFonts w:hint="eastAsia"/>
          <w:color w:val="000000"/>
          <w:sz w:val="36"/>
          <w:szCs w:val="36"/>
          <w:lang w:val="en-US" w:eastAsia="zh-CN"/>
        </w:rPr>
        <w:t>响应</w:t>
      </w:r>
      <w:r>
        <w:rPr>
          <w:rFonts w:hint="eastAsia"/>
          <w:color w:val="000000"/>
          <w:sz w:val="36"/>
          <w:szCs w:val="36"/>
        </w:rPr>
        <w:t>文件格式</w:t>
      </w:r>
      <w:r>
        <w:rPr>
          <w:rFonts w:hint="eastAsia"/>
          <w:color w:val="000000"/>
          <w:sz w:val="36"/>
          <w:szCs w:val="36"/>
          <w:lang w:val="en-US" w:eastAsia="zh-CN"/>
        </w:rPr>
        <w:t>及内容</w:t>
      </w:r>
    </w:p>
    <w:p w14:paraId="1DAD3139">
      <w:pPr>
        <w:autoSpaceDE w:val="0"/>
        <w:autoSpaceDN w:val="0"/>
        <w:adjustRightInd w:val="0"/>
        <w:spacing w:line="300" w:lineRule="auto"/>
        <w:ind w:firstLine="2940" w:firstLineChars="1400"/>
        <w:rPr>
          <w:rFonts w:ascii="Times New Roman" w:hAnsi="Times New Roman" w:eastAsia="黑体"/>
          <w:color w:val="000000"/>
          <w:shd w:val="clear" w:color="auto" w:fill="FFFFFF"/>
        </w:rPr>
      </w:pPr>
    </w:p>
    <w:p w14:paraId="00E25B83">
      <w:pPr>
        <w:autoSpaceDE w:val="0"/>
        <w:autoSpaceDN w:val="0"/>
        <w:adjustRightInd w:val="0"/>
        <w:spacing w:line="300" w:lineRule="auto"/>
        <w:ind w:firstLine="6160" w:firstLineChars="1400"/>
        <w:jc w:val="right"/>
        <w:rPr>
          <w:rFonts w:ascii="Times New Roman" w:hAnsi="Times New Roman" w:eastAsia="黑体"/>
          <w:color w:val="000000"/>
          <w:sz w:val="44"/>
          <w:szCs w:val="44"/>
        </w:rPr>
      </w:pPr>
      <w:r>
        <w:rPr>
          <w:rFonts w:hint="eastAsia" w:ascii="Times New Roman" w:hAnsi="Times New Roman" w:eastAsia="黑体"/>
          <w:color w:val="000000"/>
          <w:sz w:val="44"/>
          <w:szCs w:val="44"/>
          <w:bdr w:val="single" w:color="auto" w:sz="4" w:space="0"/>
        </w:rPr>
        <w:t>正本</w:t>
      </w:r>
      <w:r>
        <w:rPr>
          <w:rFonts w:ascii="Times New Roman" w:hAnsi="Times New Roman" w:eastAsia="黑体"/>
          <w:color w:val="000000"/>
          <w:sz w:val="44"/>
          <w:szCs w:val="44"/>
          <w:bdr w:val="single" w:color="auto" w:sz="4" w:space="0"/>
        </w:rPr>
        <w:t>/</w:t>
      </w:r>
      <w:r>
        <w:rPr>
          <w:rFonts w:hint="eastAsia" w:ascii="Times New Roman" w:hAnsi="Times New Roman" w:eastAsia="黑体"/>
          <w:color w:val="000000"/>
          <w:sz w:val="44"/>
          <w:szCs w:val="44"/>
          <w:bdr w:val="single" w:color="auto" w:sz="4" w:space="0"/>
        </w:rPr>
        <w:t>副本</w:t>
      </w:r>
    </w:p>
    <w:p w14:paraId="5160BC91">
      <w:pPr>
        <w:spacing w:line="300" w:lineRule="auto"/>
        <w:rPr>
          <w:rFonts w:ascii="Times New Roman" w:hAnsi="Times New Roman"/>
          <w:color w:val="000000"/>
          <w:szCs w:val="21"/>
        </w:rPr>
      </w:pPr>
    </w:p>
    <w:p w14:paraId="755846D7">
      <w:pPr>
        <w:spacing w:line="300" w:lineRule="auto"/>
        <w:jc w:val="center"/>
        <w:rPr>
          <w:rFonts w:ascii="Times New Roman" w:hAnsi="Times New Roman" w:eastAsia="黑体"/>
          <w:color w:val="000000"/>
          <w:sz w:val="36"/>
          <w:szCs w:val="36"/>
        </w:rPr>
      </w:pPr>
      <w:r>
        <w:rPr>
          <w:rFonts w:ascii="Times New Roman" w:hAnsi="Times New Roman" w:eastAsia="黑体"/>
          <w:color w:val="000000"/>
          <w:sz w:val="36"/>
          <w:szCs w:val="36"/>
          <w:u w:val="single"/>
        </w:rPr>
        <w:t xml:space="preserve">                      </w:t>
      </w:r>
      <w:r>
        <w:rPr>
          <w:rFonts w:hint="eastAsia" w:ascii="Times New Roman" w:hAnsi="Times New Roman" w:eastAsia="黑体"/>
          <w:color w:val="000000"/>
          <w:sz w:val="36"/>
          <w:szCs w:val="36"/>
        </w:rPr>
        <w:t>（项目名称）</w:t>
      </w:r>
    </w:p>
    <w:p w14:paraId="5BB0A429">
      <w:pPr>
        <w:spacing w:line="300" w:lineRule="auto"/>
        <w:rPr>
          <w:rFonts w:ascii="Times New Roman" w:hAnsi="Times New Roman"/>
          <w:b/>
          <w:color w:val="000000"/>
          <w:szCs w:val="21"/>
        </w:rPr>
      </w:pPr>
    </w:p>
    <w:p w14:paraId="0A99CC8E">
      <w:pPr>
        <w:spacing w:line="300" w:lineRule="auto"/>
        <w:jc w:val="center"/>
        <w:rPr>
          <w:rFonts w:ascii="Times New Roman" w:hAnsi="Times New Roman"/>
          <w:b/>
          <w:color w:val="000000"/>
          <w:szCs w:val="21"/>
        </w:rPr>
      </w:pPr>
    </w:p>
    <w:p w14:paraId="678F9A40">
      <w:pPr>
        <w:spacing w:line="300" w:lineRule="auto"/>
        <w:rPr>
          <w:rFonts w:ascii="Times New Roman" w:hAnsi="Times New Roman"/>
          <w:b/>
          <w:color w:val="000000"/>
          <w:szCs w:val="21"/>
        </w:rPr>
      </w:pPr>
    </w:p>
    <w:p w14:paraId="6D61C6B1">
      <w:pPr>
        <w:spacing w:line="300" w:lineRule="auto"/>
        <w:rPr>
          <w:rFonts w:ascii="Times New Roman" w:hAnsi="Times New Roman"/>
          <w:b/>
          <w:color w:val="000000"/>
          <w:szCs w:val="21"/>
        </w:rPr>
      </w:pPr>
    </w:p>
    <w:p w14:paraId="3F983A9E">
      <w:pPr>
        <w:spacing w:line="300" w:lineRule="auto"/>
        <w:rPr>
          <w:rFonts w:ascii="Times New Roman" w:hAnsi="Times New Roman"/>
          <w:b/>
          <w:color w:val="000000"/>
          <w:szCs w:val="21"/>
        </w:rPr>
      </w:pPr>
    </w:p>
    <w:p w14:paraId="51DAFFD2">
      <w:pPr>
        <w:spacing w:line="300" w:lineRule="auto"/>
        <w:rPr>
          <w:rFonts w:ascii="Times New Roman" w:hAnsi="Times New Roman"/>
          <w:b/>
          <w:color w:val="000000"/>
          <w:szCs w:val="21"/>
        </w:rPr>
      </w:pPr>
    </w:p>
    <w:p w14:paraId="3364BF62">
      <w:pPr>
        <w:spacing w:line="300" w:lineRule="auto"/>
        <w:jc w:val="center"/>
        <w:rPr>
          <w:rFonts w:ascii="Times New Roman" w:hAnsi="Times New Roman" w:eastAsia="黑体"/>
          <w:color w:val="000000"/>
          <w:sz w:val="36"/>
          <w:szCs w:val="36"/>
        </w:rPr>
      </w:pPr>
      <w:r>
        <w:rPr>
          <w:rFonts w:hint="eastAsia" w:ascii="Times New Roman" w:hAnsi="Times New Roman" w:eastAsia="黑体"/>
          <w:color w:val="000000"/>
          <w:sz w:val="36"/>
          <w:szCs w:val="36"/>
          <w:lang w:val="en-US" w:eastAsia="zh-CN"/>
        </w:rPr>
        <w:t>响应</w:t>
      </w:r>
      <w:r>
        <w:rPr>
          <w:rFonts w:hint="eastAsia" w:ascii="Times New Roman" w:hAnsi="Times New Roman" w:eastAsia="黑体"/>
          <w:color w:val="000000"/>
          <w:sz w:val="36"/>
          <w:szCs w:val="36"/>
        </w:rPr>
        <w:t>文件</w:t>
      </w:r>
    </w:p>
    <w:p w14:paraId="3528E805">
      <w:pPr>
        <w:spacing w:line="300" w:lineRule="auto"/>
        <w:rPr>
          <w:rFonts w:ascii="Times New Roman" w:hAnsi="Times New Roman"/>
          <w:b/>
          <w:color w:val="000000"/>
          <w:szCs w:val="21"/>
        </w:rPr>
      </w:pPr>
    </w:p>
    <w:p w14:paraId="3A5E7F97">
      <w:pPr>
        <w:spacing w:line="300" w:lineRule="auto"/>
        <w:rPr>
          <w:rFonts w:ascii="Times New Roman" w:hAnsi="Times New Roman"/>
          <w:color w:val="000000"/>
          <w:szCs w:val="21"/>
        </w:rPr>
      </w:pPr>
    </w:p>
    <w:p w14:paraId="14DA28DC">
      <w:pPr>
        <w:spacing w:line="300" w:lineRule="auto"/>
        <w:rPr>
          <w:rFonts w:ascii="Times New Roman" w:hAnsi="Times New Roman"/>
          <w:color w:val="000000"/>
          <w:szCs w:val="21"/>
        </w:rPr>
      </w:pPr>
    </w:p>
    <w:p w14:paraId="7D9A5A1A">
      <w:pPr>
        <w:spacing w:line="300" w:lineRule="auto"/>
        <w:rPr>
          <w:rFonts w:ascii="Times New Roman" w:hAnsi="Times New Roman"/>
          <w:color w:val="000000"/>
          <w:szCs w:val="21"/>
        </w:rPr>
      </w:pPr>
    </w:p>
    <w:p w14:paraId="6548513B">
      <w:pPr>
        <w:spacing w:line="300" w:lineRule="auto"/>
        <w:rPr>
          <w:rFonts w:ascii="Times New Roman" w:hAnsi="Times New Roman"/>
          <w:color w:val="000000"/>
          <w:szCs w:val="21"/>
        </w:rPr>
      </w:pPr>
    </w:p>
    <w:p w14:paraId="74900BAB">
      <w:pPr>
        <w:spacing w:line="300" w:lineRule="auto"/>
        <w:rPr>
          <w:rFonts w:ascii="Times New Roman" w:hAnsi="Times New Roman"/>
          <w:color w:val="000000"/>
          <w:szCs w:val="21"/>
        </w:rPr>
      </w:pPr>
    </w:p>
    <w:p w14:paraId="54F90C91">
      <w:pPr>
        <w:spacing w:line="300" w:lineRule="auto"/>
        <w:rPr>
          <w:rFonts w:ascii="Times New Roman" w:hAnsi="Times New Roman"/>
          <w:color w:val="000000"/>
          <w:szCs w:val="21"/>
        </w:rPr>
      </w:pPr>
    </w:p>
    <w:p w14:paraId="49A188D1">
      <w:pPr>
        <w:spacing w:line="300" w:lineRule="auto"/>
        <w:rPr>
          <w:rFonts w:ascii="Times New Roman" w:hAnsi="Times New Roman"/>
          <w:color w:val="000000"/>
          <w:szCs w:val="21"/>
        </w:rPr>
      </w:pPr>
    </w:p>
    <w:p w14:paraId="0CBE3439">
      <w:pPr>
        <w:spacing w:line="300" w:lineRule="auto"/>
        <w:ind w:firstLine="140" w:firstLineChars="50"/>
        <w:rPr>
          <w:rFonts w:ascii="Times New Roman" w:hAnsi="Times New Roman" w:eastAsia="黑体"/>
          <w:color w:val="000000"/>
          <w:sz w:val="28"/>
          <w:szCs w:val="28"/>
          <w:u w:val="single"/>
        </w:rPr>
      </w:pPr>
      <w:r>
        <w:rPr>
          <w:rFonts w:hint="eastAsia" w:ascii="Times New Roman" w:hAnsi="Times New Roman" w:eastAsia="黑体"/>
          <w:color w:val="000000"/>
          <w:sz w:val="28"/>
          <w:szCs w:val="28"/>
          <w:lang w:eastAsia="zh-CN"/>
        </w:rPr>
        <w:t>供应商</w:t>
      </w:r>
      <w:r>
        <w:rPr>
          <w:rFonts w:hint="eastAsia" w:ascii="Times New Roman" w:hAnsi="Times New Roman" w:eastAsia="黑体"/>
          <w:color w:val="000000"/>
          <w:sz w:val="28"/>
          <w:szCs w:val="28"/>
        </w:rPr>
        <w:t>：</w:t>
      </w:r>
      <w:r>
        <w:rPr>
          <w:rFonts w:ascii="Times New Roman" w:hAnsi="Times New Roman" w:eastAsia="黑体"/>
          <w:color w:val="000000"/>
          <w:sz w:val="28"/>
          <w:szCs w:val="28"/>
          <w:u w:val="single"/>
        </w:rPr>
        <w:t xml:space="preserve">                                       </w:t>
      </w:r>
      <w:r>
        <w:rPr>
          <w:rFonts w:hint="eastAsia" w:ascii="Times New Roman" w:hAnsi="Times New Roman" w:eastAsia="黑体"/>
          <w:color w:val="000000"/>
          <w:sz w:val="28"/>
          <w:szCs w:val="28"/>
        </w:rPr>
        <w:t>（盖单位公章）</w:t>
      </w:r>
    </w:p>
    <w:p w14:paraId="04B382EB">
      <w:pPr>
        <w:spacing w:line="300" w:lineRule="auto"/>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法定代表人或其委托代理人：</w:t>
      </w:r>
      <w:r>
        <w:rPr>
          <w:rFonts w:ascii="Times New Roman" w:hAnsi="Times New Roman" w:eastAsia="黑体"/>
          <w:color w:val="000000"/>
          <w:sz w:val="28"/>
          <w:szCs w:val="28"/>
          <w:u w:val="single"/>
        </w:rPr>
        <w:t xml:space="preserve">                    </w:t>
      </w:r>
      <w:r>
        <w:rPr>
          <w:rFonts w:hint="eastAsia" w:ascii="Times New Roman" w:hAnsi="Times New Roman" w:eastAsia="黑体"/>
          <w:color w:val="000000"/>
          <w:sz w:val="28"/>
          <w:szCs w:val="28"/>
        </w:rPr>
        <w:t>（签字或盖章）</w:t>
      </w:r>
    </w:p>
    <w:p w14:paraId="14A95AB4">
      <w:pPr>
        <w:spacing w:line="300" w:lineRule="auto"/>
        <w:jc w:val="center"/>
        <w:rPr>
          <w:rFonts w:ascii="Times New Roman" w:hAnsi="Times New Roman" w:eastAsia="黑体"/>
          <w:color w:val="000000"/>
          <w:sz w:val="28"/>
          <w:szCs w:val="28"/>
          <w:u w:val="single"/>
        </w:rPr>
      </w:pPr>
    </w:p>
    <w:p w14:paraId="314F3AAD">
      <w:pPr>
        <w:spacing w:line="300" w:lineRule="auto"/>
        <w:jc w:val="center"/>
        <w:rPr>
          <w:rFonts w:ascii="Times New Roman" w:hAnsi="Times New Roman" w:eastAsia="黑体"/>
          <w:color w:val="000000"/>
          <w:sz w:val="28"/>
          <w:szCs w:val="28"/>
        </w:rPr>
        <w:sectPr>
          <w:footerReference r:id="rId5" w:type="default"/>
          <w:footerReference r:id="rId6" w:type="even"/>
          <w:pgSz w:w="11906" w:h="16838"/>
          <w:pgMar w:top="1418" w:right="1644" w:bottom="1247" w:left="1644" w:header="851" w:footer="992" w:gutter="0"/>
          <w:cols w:space="720" w:num="1"/>
          <w:docGrid w:type="lines" w:linePitch="312" w:charSpace="0"/>
        </w:sectPr>
      </w:pPr>
      <w:r>
        <w:rPr>
          <w:rFonts w:ascii="Times New Roman" w:hAnsi="Times New Roman" w:eastAsia="黑体"/>
          <w:color w:val="000000"/>
          <w:sz w:val="28"/>
          <w:szCs w:val="28"/>
          <w:u w:val="single"/>
        </w:rPr>
        <w:t xml:space="preserve">      </w:t>
      </w:r>
      <w:r>
        <w:rPr>
          <w:rFonts w:hint="eastAsia" w:ascii="Times New Roman" w:hAnsi="Times New Roman" w:eastAsia="黑体"/>
          <w:color w:val="000000"/>
          <w:sz w:val="28"/>
          <w:szCs w:val="28"/>
        </w:rPr>
        <w:t>年</w:t>
      </w:r>
      <w:r>
        <w:rPr>
          <w:rFonts w:ascii="Times New Roman" w:hAnsi="Times New Roman" w:eastAsia="黑体"/>
          <w:color w:val="000000"/>
          <w:sz w:val="28"/>
          <w:szCs w:val="28"/>
        </w:rPr>
        <w:t xml:space="preserve"> </w:t>
      </w:r>
      <w:r>
        <w:rPr>
          <w:rFonts w:ascii="Times New Roman" w:hAnsi="Times New Roman" w:eastAsia="黑体"/>
          <w:color w:val="000000"/>
          <w:sz w:val="28"/>
          <w:szCs w:val="28"/>
          <w:u w:val="single"/>
        </w:rPr>
        <w:t xml:space="preserve">   </w:t>
      </w:r>
      <w:r>
        <w:rPr>
          <w:rFonts w:ascii="Times New Roman" w:hAnsi="Times New Roman" w:eastAsia="黑体"/>
          <w:color w:val="000000"/>
          <w:sz w:val="28"/>
          <w:szCs w:val="28"/>
        </w:rPr>
        <w:t xml:space="preserve"> </w:t>
      </w:r>
      <w:r>
        <w:rPr>
          <w:rFonts w:hint="eastAsia" w:ascii="Times New Roman" w:hAnsi="Times New Roman" w:eastAsia="黑体"/>
          <w:color w:val="000000"/>
          <w:sz w:val="28"/>
          <w:szCs w:val="28"/>
        </w:rPr>
        <w:t>月</w:t>
      </w:r>
      <w:r>
        <w:rPr>
          <w:rFonts w:ascii="Times New Roman" w:hAnsi="Times New Roman" w:eastAsia="黑体"/>
          <w:color w:val="000000"/>
          <w:sz w:val="28"/>
          <w:szCs w:val="28"/>
        </w:rPr>
        <w:t xml:space="preserve">  </w:t>
      </w:r>
      <w:r>
        <w:rPr>
          <w:rFonts w:ascii="Times New Roman" w:hAnsi="Times New Roman" w:eastAsia="黑体"/>
          <w:color w:val="000000"/>
          <w:sz w:val="28"/>
          <w:szCs w:val="28"/>
          <w:u w:val="single"/>
        </w:rPr>
        <w:t xml:space="preserve">    </w:t>
      </w:r>
      <w:r>
        <w:rPr>
          <w:rFonts w:hint="eastAsia" w:ascii="Times New Roman" w:hAnsi="Times New Roman" w:eastAsia="黑体"/>
          <w:color w:val="000000"/>
          <w:sz w:val="28"/>
          <w:szCs w:val="28"/>
        </w:rPr>
        <w:t>日</w:t>
      </w:r>
    </w:p>
    <w:p w14:paraId="21044A8F">
      <w:pPr>
        <w:pStyle w:val="3"/>
        <w:spacing w:before="0" w:after="0" w:line="300" w:lineRule="auto"/>
        <w:jc w:val="center"/>
        <w:rPr>
          <w:rFonts w:ascii="Times New Roman" w:hAnsi="Times New Roman"/>
          <w:color w:val="000000"/>
        </w:rPr>
      </w:pPr>
      <w:r>
        <w:rPr>
          <w:rFonts w:hint="eastAsia" w:ascii="Times New Roman" w:hAnsi="Times New Roman"/>
          <w:color w:val="000000"/>
        </w:rPr>
        <w:t>目</w:t>
      </w:r>
      <w:r>
        <w:rPr>
          <w:rFonts w:ascii="Times New Roman" w:hAnsi="Times New Roman"/>
          <w:color w:val="000000"/>
        </w:rPr>
        <w:t xml:space="preserve">    </w:t>
      </w:r>
      <w:r>
        <w:rPr>
          <w:rFonts w:hint="eastAsia" w:ascii="Times New Roman" w:hAnsi="Times New Roman"/>
          <w:color w:val="000000"/>
        </w:rPr>
        <w:t>录</w:t>
      </w:r>
    </w:p>
    <w:p w14:paraId="17FFCF52">
      <w:pPr>
        <w:spacing w:line="300" w:lineRule="auto"/>
        <w:rPr>
          <w:rFonts w:ascii="Times New Roman" w:hAnsi="Times New Roman"/>
          <w:color w:val="000000"/>
        </w:rPr>
      </w:pPr>
    </w:p>
    <w:p w14:paraId="665DCD74">
      <w:pPr>
        <w:ind w:firstLine="420" w:firstLineChars="150"/>
        <w:rPr>
          <w:sz w:val="28"/>
          <w:szCs w:val="28"/>
        </w:rPr>
      </w:pPr>
      <w:r>
        <w:rPr>
          <w:rFonts w:hint="eastAsia"/>
          <w:sz w:val="28"/>
          <w:szCs w:val="28"/>
        </w:rPr>
        <w:t>第一部分：商务部分</w:t>
      </w:r>
    </w:p>
    <w:p w14:paraId="1EBE475D">
      <w:pPr>
        <w:spacing w:line="360" w:lineRule="auto"/>
        <w:ind w:firstLine="480" w:firstLineChars="200"/>
        <w:rPr>
          <w:rFonts w:hint="eastAsia" w:ascii="宋体" w:hAnsi="宋体" w:cs="仿宋"/>
          <w:sz w:val="24"/>
        </w:rPr>
      </w:pPr>
      <w:r>
        <w:rPr>
          <w:rFonts w:hint="eastAsia" w:ascii="宋体" w:hAnsi="宋体" w:cs="仿宋"/>
          <w:sz w:val="24"/>
        </w:rPr>
        <w:t>1、</w:t>
      </w:r>
      <w:r>
        <w:rPr>
          <w:rFonts w:hint="eastAsia" w:cs="仿宋"/>
          <w:sz w:val="24"/>
          <w:lang w:val="en-US" w:eastAsia="zh-CN"/>
        </w:rPr>
        <w:t>报价</w:t>
      </w:r>
      <w:r>
        <w:rPr>
          <w:rFonts w:hint="eastAsia" w:ascii="宋体" w:hAnsi="宋体" w:cs="仿宋"/>
          <w:sz w:val="24"/>
        </w:rPr>
        <w:t>函</w:t>
      </w:r>
    </w:p>
    <w:p w14:paraId="26FFC8EA">
      <w:pPr>
        <w:pStyle w:val="12"/>
        <w:ind w:left="0" w:leftChars="0" w:firstLine="0" w:firstLineChars="0"/>
        <w:rPr>
          <w:rFonts w:hint="default" w:eastAsia="宋体"/>
          <w:lang w:val="en-US" w:eastAsia="zh-CN"/>
        </w:rPr>
      </w:pPr>
      <w:r>
        <w:rPr>
          <w:rFonts w:hint="eastAsia"/>
          <w:lang w:val="en-US" w:eastAsia="zh-CN"/>
        </w:rPr>
        <w:t xml:space="preserve">    2、法定代表人身份证明</w:t>
      </w:r>
    </w:p>
    <w:p w14:paraId="15373715">
      <w:pPr>
        <w:spacing w:line="360" w:lineRule="auto"/>
        <w:ind w:firstLine="480" w:firstLineChars="200"/>
        <w:rPr>
          <w:rFonts w:ascii="宋体" w:hAnsi="宋体" w:cs="仿宋"/>
          <w:sz w:val="24"/>
        </w:rPr>
      </w:pPr>
      <w:r>
        <w:rPr>
          <w:rFonts w:hint="eastAsia" w:cs="仿宋"/>
          <w:sz w:val="24"/>
          <w:lang w:val="en-US" w:eastAsia="zh-CN"/>
        </w:rPr>
        <w:t>3</w:t>
      </w:r>
      <w:r>
        <w:rPr>
          <w:rFonts w:hint="eastAsia" w:ascii="宋体" w:hAnsi="宋体" w:cs="仿宋"/>
          <w:sz w:val="24"/>
        </w:rPr>
        <w:t>、授权委托书</w:t>
      </w:r>
    </w:p>
    <w:p w14:paraId="0384FAA0">
      <w:pPr>
        <w:spacing w:line="360" w:lineRule="auto"/>
        <w:ind w:firstLine="480" w:firstLineChars="200"/>
        <w:rPr>
          <w:rFonts w:ascii="宋体" w:hAnsi="宋体" w:cs="仿宋"/>
          <w:sz w:val="24"/>
        </w:rPr>
      </w:pPr>
      <w:r>
        <w:rPr>
          <w:rFonts w:hint="eastAsia" w:cs="仿宋"/>
          <w:sz w:val="24"/>
          <w:lang w:val="en-US" w:eastAsia="zh-CN"/>
        </w:rPr>
        <w:t>4</w:t>
      </w:r>
      <w:r>
        <w:rPr>
          <w:rFonts w:hint="eastAsia" w:ascii="宋体" w:hAnsi="宋体" w:cs="仿宋"/>
          <w:sz w:val="24"/>
        </w:rPr>
        <w:t>、</w:t>
      </w:r>
      <w:r>
        <w:rPr>
          <w:rFonts w:hint="eastAsia" w:cs="仿宋"/>
          <w:sz w:val="24"/>
          <w:lang w:val="en-US" w:eastAsia="zh-CN"/>
        </w:rPr>
        <w:t>谈判保证金</w:t>
      </w:r>
    </w:p>
    <w:p w14:paraId="66E40ACE">
      <w:pPr>
        <w:spacing w:line="360" w:lineRule="auto"/>
        <w:ind w:firstLine="480" w:firstLineChars="200"/>
        <w:rPr>
          <w:rFonts w:ascii="宋体" w:hAnsi="宋体" w:cs="仿宋"/>
          <w:sz w:val="24"/>
        </w:rPr>
      </w:pPr>
      <w:r>
        <w:rPr>
          <w:rFonts w:hint="eastAsia" w:cs="仿宋"/>
          <w:sz w:val="24"/>
          <w:lang w:val="en-US" w:eastAsia="zh-CN"/>
        </w:rPr>
        <w:t>5</w:t>
      </w:r>
      <w:r>
        <w:rPr>
          <w:rFonts w:hint="eastAsia" w:ascii="宋体" w:hAnsi="宋体" w:cs="仿宋"/>
          <w:sz w:val="24"/>
        </w:rPr>
        <w:t>、资格审查资料</w:t>
      </w:r>
    </w:p>
    <w:p w14:paraId="77F3AEAF">
      <w:pPr>
        <w:spacing w:line="360" w:lineRule="auto"/>
        <w:ind w:firstLine="480" w:firstLineChars="200"/>
        <w:rPr>
          <w:rFonts w:ascii="宋体" w:hAnsi="宋体" w:cs="仿宋"/>
          <w:sz w:val="24"/>
        </w:rPr>
      </w:pPr>
      <w:r>
        <w:rPr>
          <w:rFonts w:hint="eastAsia" w:cs="仿宋"/>
          <w:sz w:val="24"/>
          <w:lang w:val="en-US" w:eastAsia="zh-CN"/>
        </w:rPr>
        <w:t>6</w:t>
      </w:r>
      <w:r>
        <w:rPr>
          <w:rFonts w:hint="eastAsia" w:ascii="宋体" w:hAnsi="宋体" w:cs="仿宋"/>
          <w:sz w:val="24"/>
        </w:rPr>
        <w:t>、报价表</w:t>
      </w:r>
    </w:p>
    <w:p w14:paraId="76E10AAF">
      <w:pPr>
        <w:spacing w:line="360" w:lineRule="auto"/>
        <w:ind w:firstLine="480" w:firstLineChars="200"/>
        <w:rPr>
          <w:rFonts w:ascii="宋体" w:hAnsi="宋体" w:cs="仿宋"/>
          <w:sz w:val="24"/>
        </w:rPr>
      </w:pPr>
      <w:r>
        <w:rPr>
          <w:rFonts w:hint="eastAsia" w:cs="仿宋"/>
          <w:sz w:val="24"/>
          <w:lang w:val="en-US" w:eastAsia="zh-CN"/>
        </w:rPr>
        <w:t>7</w:t>
      </w:r>
      <w:r>
        <w:rPr>
          <w:rFonts w:hint="eastAsia" w:ascii="宋体" w:hAnsi="宋体" w:cs="仿宋"/>
          <w:sz w:val="24"/>
        </w:rPr>
        <w:t>、商务</w:t>
      </w:r>
      <w:r>
        <w:rPr>
          <w:rFonts w:hint="eastAsia" w:cs="仿宋"/>
          <w:sz w:val="24"/>
          <w:lang w:val="en-US" w:eastAsia="zh-CN"/>
        </w:rPr>
        <w:t>或技术</w:t>
      </w:r>
      <w:r>
        <w:rPr>
          <w:rFonts w:hint="eastAsia" w:ascii="宋体" w:hAnsi="宋体" w:cs="仿宋"/>
          <w:sz w:val="24"/>
        </w:rPr>
        <w:t>偏差表</w:t>
      </w:r>
    </w:p>
    <w:p w14:paraId="52C45A91">
      <w:pPr>
        <w:spacing w:line="360" w:lineRule="auto"/>
        <w:ind w:firstLine="480" w:firstLineChars="200"/>
        <w:rPr>
          <w:rFonts w:ascii="宋体" w:hAnsi="宋体" w:cs="仿宋"/>
          <w:sz w:val="24"/>
        </w:rPr>
      </w:pPr>
      <w:r>
        <w:rPr>
          <w:rFonts w:hint="eastAsia" w:cs="仿宋"/>
          <w:sz w:val="24"/>
          <w:lang w:val="en-US" w:eastAsia="zh-CN"/>
        </w:rPr>
        <w:t>8</w:t>
      </w:r>
      <w:r>
        <w:rPr>
          <w:rFonts w:hint="eastAsia" w:ascii="宋体" w:hAnsi="宋体" w:cs="仿宋"/>
          <w:sz w:val="24"/>
        </w:rPr>
        <w:t>、</w:t>
      </w:r>
      <w:r>
        <w:rPr>
          <w:rFonts w:hint="eastAsia" w:cs="仿宋"/>
          <w:sz w:val="24"/>
          <w:lang w:val="en-US" w:eastAsia="zh-CN"/>
        </w:rPr>
        <w:t>供应商</w:t>
      </w:r>
      <w:r>
        <w:rPr>
          <w:rFonts w:hint="eastAsia" w:ascii="宋体" w:hAnsi="宋体" w:cs="仿宋"/>
          <w:sz w:val="24"/>
        </w:rPr>
        <w:t>认为应补充的其它资料</w:t>
      </w:r>
    </w:p>
    <w:p w14:paraId="4432A860">
      <w:pPr>
        <w:ind w:firstLine="420" w:firstLineChars="150"/>
        <w:rPr>
          <w:sz w:val="28"/>
          <w:szCs w:val="28"/>
        </w:rPr>
      </w:pPr>
      <w:r>
        <w:rPr>
          <w:rFonts w:hint="eastAsia"/>
          <w:sz w:val="28"/>
          <w:szCs w:val="28"/>
        </w:rPr>
        <w:t>第二部分：技术部分</w:t>
      </w:r>
    </w:p>
    <w:p w14:paraId="6A87C9DE">
      <w:pPr>
        <w:spacing w:line="360" w:lineRule="auto"/>
        <w:ind w:left="480"/>
        <w:rPr>
          <w:rFonts w:ascii="宋体" w:hAnsi="宋体" w:cs="仿宋"/>
          <w:sz w:val="24"/>
        </w:rPr>
      </w:pPr>
      <w:r>
        <w:rPr>
          <w:rFonts w:hint="eastAsia" w:ascii="宋体" w:hAnsi="宋体" w:cs="仿宋"/>
          <w:sz w:val="24"/>
        </w:rPr>
        <w:t>1、交货计划表</w:t>
      </w:r>
    </w:p>
    <w:p w14:paraId="403F06AF">
      <w:pPr>
        <w:spacing w:line="360" w:lineRule="auto"/>
        <w:ind w:left="480"/>
        <w:rPr>
          <w:rFonts w:ascii="宋体" w:hAnsi="宋体" w:cs="仿宋"/>
          <w:sz w:val="24"/>
        </w:rPr>
      </w:pPr>
      <w:r>
        <w:rPr>
          <w:rFonts w:hint="eastAsia" w:ascii="宋体" w:hAnsi="宋体" w:cs="仿宋"/>
          <w:sz w:val="24"/>
        </w:rPr>
        <w:t>2、技术参数表</w:t>
      </w:r>
    </w:p>
    <w:p w14:paraId="4BD9E49D">
      <w:pPr>
        <w:spacing w:line="360" w:lineRule="auto"/>
        <w:ind w:left="480"/>
        <w:rPr>
          <w:rFonts w:ascii="宋体" w:hAnsi="宋体" w:cs="仿宋"/>
          <w:sz w:val="24"/>
        </w:rPr>
      </w:pPr>
      <w:r>
        <w:rPr>
          <w:rFonts w:hint="eastAsia" w:ascii="宋体" w:hAnsi="宋体" w:cs="仿宋"/>
          <w:sz w:val="24"/>
        </w:rPr>
        <w:t>3、技术偏差表</w:t>
      </w:r>
    </w:p>
    <w:p w14:paraId="05EF1E14">
      <w:pPr>
        <w:spacing w:line="360" w:lineRule="auto"/>
        <w:ind w:left="480"/>
        <w:rPr>
          <w:rFonts w:ascii="宋体" w:hAnsi="宋体" w:cs="仿宋"/>
          <w:sz w:val="24"/>
        </w:rPr>
      </w:pPr>
      <w:r>
        <w:rPr>
          <w:rFonts w:hint="eastAsia" w:ascii="宋体" w:hAnsi="宋体" w:cs="仿宋"/>
          <w:sz w:val="24"/>
        </w:rPr>
        <w:t>4、</w:t>
      </w:r>
      <w:r>
        <w:rPr>
          <w:rFonts w:hint="eastAsia" w:cs="仿宋"/>
          <w:sz w:val="24"/>
          <w:lang w:val="en-US" w:eastAsia="zh-CN"/>
        </w:rPr>
        <w:t>供应商</w:t>
      </w:r>
      <w:r>
        <w:rPr>
          <w:rFonts w:hint="eastAsia" w:ascii="宋体" w:hAnsi="宋体" w:cs="仿宋"/>
          <w:sz w:val="24"/>
        </w:rPr>
        <w:t>认为应补充的其它技术资料</w:t>
      </w:r>
    </w:p>
    <w:p w14:paraId="27ADE641">
      <w:pPr>
        <w:jc w:val="center"/>
        <w:rPr>
          <w:sz w:val="28"/>
          <w:szCs w:val="28"/>
        </w:rPr>
      </w:pPr>
      <w:r>
        <w:rPr>
          <w:rFonts w:ascii="Times New Roman" w:hAnsi="Times New Roman"/>
          <w:b/>
          <w:color w:val="000000"/>
        </w:rPr>
        <w:br w:type="page"/>
      </w:r>
      <w:r>
        <w:rPr>
          <w:rFonts w:hint="eastAsia"/>
          <w:sz w:val="28"/>
          <w:szCs w:val="28"/>
        </w:rPr>
        <w:t>第一部分：商务部分</w:t>
      </w:r>
    </w:p>
    <w:p w14:paraId="7ADC4012">
      <w:pPr>
        <w:spacing w:line="300" w:lineRule="auto"/>
        <w:jc w:val="center"/>
        <w:rPr>
          <w:rFonts w:ascii="Times New Roman" w:hAnsi="Times New Roman"/>
          <w:b/>
          <w:color w:val="000000"/>
        </w:rPr>
      </w:pPr>
    </w:p>
    <w:p w14:paraId="288C0063">
      <w:pPr>
        <w:pStyle w:val="4"/>
        <w:spacing w:before="0" w:after="0" w:line="300" w:lineRule="auto"/>
        <w:jc w:val="left"/>
        <w:rPr>
          <w:b w:val="0"/>
          <w:bCs w:val="0"/>
          <w:color w:val="000000"/>
          <w:sz w:val="24"/>
          <w:szCs w:val="24"/>
        </w:rPr>
      </w:pPr>
      <w:r>
        <w:rPr>
          <w:rFonts w:hint="eastAsia"/>
          <w:b w:val="0"/>
          <w:bCs w:val="0"/>
          <w:color w:val="000000"/>
          <w:sz w:val="24"/>
          <w:szCs w:val="24"/>
          <w:lang w:val="en-US" w:eastAsia="zh-CN"/>
        </w:rPr>
        <w:t>1、报价</w:t>
      </w:r>
      <w:r>
        <w:rPr>
          <w:rFonts w:hint="eastAsia"/>
          <w:b w:val="0"/>
          <w:bCs w:val="0"/>
          <w:color w:val="000000"/>
          <w:sz w:val="24"/>
          <w:szCs w:val="24"/>
        </w:rPr>
        <w:t>函</w:t>
      </w:r>
    </w:p>
    <w:p w14:paraId="1C5F464E">
      <w:pPr>
        <w:spacing w:line="300" w:lineRule="auto"/>
        <w:rPr>
          <w:rFonts w:ascii="Times New Roman" w:hAnsi="Times New Roman"/>
          <w:color w:val="000000"/>
          <w:szCs w:val="21"/>
        </w:rPr>
      </w:pPr>
      <w:r>
        <w:rPr>
          <w:rFonts w:ascii="Times New Roman" w:hAnsi="Times New Roman"/>
          <w:color w:val="000000"/>
          <w:szCs w:val="21"/>
          <w:u w:val="single"/>
        </w:rPr>
        <w:t xml:space="preserve">   </w:t>
      </w:r>
      <w:r>
        <w:rPr>
          <w:rFonts w:hint="eastAsia" w:ascii="Times New Roman" w:hAnsi="Times New Roman"/>
          <w:color w:val="000000"/>
          <w:szCs w:val="21"/>
          <w:u w:val="single"/>
          <w:lang w:eastAsia="zh-CN"/>
        </w:rPr>
        <w:t>山东济钢环保新材料有限公司</w:t>
      </w:r>
      <w:r>
        <w:rPr>
          <w:rFonts w:ascii="Times New Roman" w:hAnsi="Times New Roman"/>
          <w:color w:val="000000"/>
          <w:szCs w:val="21"/>
          <w:u w:val="single"/>
        </w:rPr>
        <w:t xml:space="preserve"> </w:t>
      </w:r>
      <w:r>
        <w:rPr>
          <w:rFonts w:hint="eastAsia" w:ascii="Times New Roman" w:hAnsi="Times New Roman"/>
          <w:color w:val="000000"/>
          <w:szCs w:val="21"/>
        </w:rPr>
        <w:t>：</w:t>
      </w:r>
    </w:p>
    <w:p w14:paraId="1137998A">
      <w:pPr>
        <w:numPr>
          <w:ilvl w:val="0"/>
          <w:numId w:val="3"/>
        </w:numPr>
        <w:spacing w:line="300" w:lineRule="auto"/>
        <w:ind w:firstLine="420" w:firstLineChars="200"/>
        <w:rPr>
          <w:rFonts w:hint="eastAsia" w:ascii="Times New Roman" w:hAnsi="Times New Roman"/>
          <w:color w:val="000000"/>
          <w:szCs w:val="21"/>
        </w:rPr>
      </w:pPr>
      <w:r>
        <w:rPr>
          <w:rFonts w:hint="eastAsia" w:ascii="Times New Roman" w:hAnsi="Times New Roman"/>
          <w:color w:val="000000"/>
          <w:szCs w:val="21"/>
        </w:rPr>
        <w:t>我方已仔细研究了</w:t>
      </w:r>
      <w:r>
        <w:rPr>
          <w:rFonts w:hint="eastAsia" w:ascii="Times New Roman" w:hAnsi="Times New Roman"/>
          <w:color w:val="000000"/>
          <w:szCs w:val="21"/>
          <w:u w:val="single"/>
          <w:lang w:val="en-US" w:eastAsia="zh-CN"/>
        </w:rPr>
        <w:t xml:space="preserve">       </w:t>
      </w:r>
      <w:r>
        <w:rPr>
          <w:rFonts w:hint="eastAsia" w:ascii="Times New Roman" w:hAnsi="Times New Roman"/>
          <w:color w:val="000000"/>
          <w:szCs w:val="21"/>
          <w:u w:val="single"/>
          <w:lang w:eastAsia="zh-CN"/>
        </w:rPr>
        <w:t xml:space="preserve"> </w:t>
      </w:r>
      <w:r>
        <w:rPr>
          <w:rFonts w:hint="eastAsia" w:ascii="Times New Roman" w:hAnsi="Times New Roman"/>
          <w:color w:val="000000"/>
          <w:szCs w:val="21"/>
          <w:lang w:val="en-US" w:eastAsia="zh-CN"/>
        </w:rPr>
        <w:t>谈判</w:t>
      </w:r>
      <w:r>
        <w:rPr>
          <w:rFonts w:hint="eastAsia" w:ascii="Times New Roman" w:hAnsi="Times New Roman"/>
          <w:color w:val="000000"/>
          <w:szCs w:val="21"/>
        </w:rPr>
        <w:t>文件的全部内容，愿意以人民币（大写）</w:t>
      </w:r>
      <w:r>
        <w:rPr>
          <w:rFonts w:ascii="Times New Roman" w:hAnsi="Times New Roman"/>
          <w:color w:val="000000"/>
          <w:szCs w:val="21"/>
          <w:u w:val="single"/>
        </w:rPr>
        <w:t xml:space="preserve">         </w:t>
      </w:r>
      <w:r>
        <w:rPr>
          <w:rFonts w:hint="eastAsia" w:ascii="Times New Roman" w:hAnsi="Times New Roman"/>
          <w:color w:val="000000"/>
          <w:szCs w:val="21"/>
        </w:rPr>
        <w:t>（</w:t>
      </w:r>
      <w:r>
        <w:rPr>
          <w:rFonts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rPr>
        <w:t>）</w:t>
      </w:r>
      <w:r>
        <w:rPr>
          <w:rFonts w:hint="eastAsia" w:ascii="Times New Roman" w:hAnsi="Times New Roman"/>
          <w:color w:val="000000"/>
          <w:szCs w:val="21"/>
          <w:lang w:eastAsia="zh-CN"/>
        </w:rPr>
        <w:t>含税</w:t>
      </w:r>
      <w:r>
        <w:rPr>
          <w:rFonts w:hint="eastAsia" w:ascii="Times New Roman" w:hAnsi="Times New Roman"/>
          <w:color w:val="000000"/>
          <w:szCs w:val="21"/>
          <w:u w:val="single"/>
          <w:lang w:val="en-US" w:eastAsia="zh-CN"/>
        </w:rPr>
        <w:t xml:space="preserve">   %</w:t>
      </w:r>
      <w:r>
        <w:rPr>
          <w:rFonts w:hint="eastAsia" w:ascii="Times New Roman" w:hAnsi="Times New Roman"/>
          <w:color w:val="000000"/>
          <w:szCs w:val="21"/>
        </w:rPr>
        <w:t>的总报价</w:t>
      </w:r>
      <w:r>
        <w:rPr>
          <w:rFonts w:hint="eastAsia" w:ascii="Times New Roman" w:hAnsi="Times New Roman"/>
          <w:color w:val="000000"/>
          <w:szCs w:val="21"/>
          <w:lang w:val="en-US" w:eastAsia="zh-CN"/>
        </w:rPr>
        <w:t>，</w:t>
      </w:r>
      <w:r>
        <w:rPr>
          <w:rFonts w:hint="eastAsia" w:ascii="Times New Roman" w:hAnsi="Times New Roman"/>
          <w:color w:val="000000"/>
          <w:szCs w:val="21"/>
        </w:rPr>
        <w:t>按合同约定</w:t>
      </w:r>
      <w:r>
        <w:rPr>
          <w:rFonts w:hint="eastAsia" w:ascii="宋体" w:hAnsi="宋体"/>
          <w:sz w:val="24"/>
        </w:rPr>
        <w:t>履行所有义务</w:t>
      </w:r>
      <w:r>
        <w:rPr>
          <w:rFonts w:hint="eastAsia" w:ascii="Times New Roman" w:hAnsi="Times New Roman"/>
          <w:color w:val="000000"/>
          <w:szCs w:val="21"/>
        </w:rPr>
        <w:t>。</w:t>
      </w:r>
    </w:p>
    <w:p w14:paraId="7DF7FFEB">
      <w:pPr>
        <w:spacing w:line="300" w:lineRule="auto"/>
        <w:ind w:firstLine="420" w:firstLineChars="200"/>
        <w:rPr>
          <w:rFonts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szCs w:val="21"/>
        </w:rPr>
        <w:t>．我方承诺在</w:t>
      </w:r>
      <w:r>
        <w:rPr>
          <w:rFonts w:hint="eastAsia" w:ascii="Times New Roman" w:hAnsi="Times New Roman"/>
          <w:color w:val="000000"/>
          <w:szCs w:val="21"/>
          <w:lang w:val="en-US" w:eastAsia="zh-CN"/>
        </w:rPr>
        <w:t>谈判</w:t>
      </w:r>
      <w:r>
        <w:rPr>
          <w:rFonts w:hint="eastAsia" w:ascii="Times New Roman" w:hAnsi="Times New Roman"/>
          <w:color w:val="000000"/>
          <w:szCs w:val="21"/>
        </w:rPr>
        <w:t>文件规定的</w:t>
      </w:r>
      <w:r>
        <w:rPr>
          <w:rFonts w:hint="eastAsia" w:ascii="Times New Roman" w:hAnsi="Times New Roman"/>
          <w:color w:val="000000"/>
          <w:szCs w:val="21"/>
          <w:lang w:val="en-US" w:eastAsia="zh-CN"/>
        </w:rPr>
        <w:t>谈判</w:t>
      </w:r>
      <w:r>
        <w:rPr>
          <w:rFonts w:hint="eastAsia" w:ascii="Times New Roman" w:hAnsi="Times New Roman"/>
          <w:color w:val="000000"/>
          <w:szCs w:val="21"/>
        </w:rPr>
        <w:t>有效期内不修改、撤销</w:t>
      </w:r>
      <w:r>
        <w:rPr>
          <w:rFonts w:hint="eastAsia" w:ascii="Times New Roman" w:hAnsi="Times New Roman"/>
          <w:color w:val="000000"/>
          <w:szCs w:val="21"/>
          <w:lang w:val="en-US" w:eastAsia="zh-CN"/>
        </w:rPr>
        <w:t>响应</w:t>
      </w:r>
      <w:r>
        <w:rPr>
          <w:rFonts w:hint="eastAsia" w:ascii="Times New Roman" w:hAnsi="Times New Roman"/>
          <w:color w:val="000000"/>
          <w:szCs w:val="21"/>
        </w:rPr>
        <w:t>文件。</w:t>
      </w:r>
    </w:p>
    <w:p w14:paraId="68963A5D">
      <w:pPr>
        <w:spacing w:line="300" w:lineRule="auto"/>
        <w:ind w:firstLine="420" w:firstLineChars="200"/>
        <w:rPr>
          <w:rFonts w:ascii="Times New Roman" w:hAnsi="Times New Roman"/>
          <w:color w:val="000000"/>
          <w:szCs w:val="21"/>
        </w:rPr>
      </w:pPr>
      <w:r>
        <w:rPr>
          <w:rFonts w:ascii="Times New Roman" w:hAnsi="Times New Roman"/>
          <w:color w:val="000000"/>
          <w:szCs w:val="21"/>
        </w:rPr>
        <w:t>3</w:t>
      </w:r>
      <w:r>
        <w:rPr>
          <w:rFonts w:hint="eastAsia" w:ascii="Times New Roman" w:hAnsi="Times New Roman"/>
          <w:color w:val="000000"/>
          <w:szCs w:val="21"/>
        </w:rPr>
        <w:t>．随同本</w:t>
      </w:r>
      <w:r>
        <w:rPr>
          <w:rFonts w:hint="eastAsia" w:ascii="Times New Roman" w:hAnsi="Times New Roman"/>
          <w:color w:val="000000"/>
          <w:szCs w:val="21"/>
          <w:lang w:val="en-US" w:eastAsia="zh-CN"/>
        </w:rPr>
        <w:t>报价</w:t>
      </w:r>
      <w:r>
        <w:rPr>
          <w:rFonts w:hint="eastAsia" w:ascii="Times New Roman" w:hAnsi="Times New Roman"/>
          <w:color w:val="000000"/>
          <w:szCs w:val="21"/>
        </w:rPr>
        <w:t>函提交</w:t>
      </w:r>
      <w:r>
        <w:rPr>
          <w:rFonts w:hint="eastAsia" w:ascii="Times New Roman" w:hAnsi="Times New Roman"/>
          <w:color w:val="000000"/>
          <w:szCs w:val="21"/>
          <w:lang w:val="en-US" w:eastAsia="zh-CN"/>
        </w:rPr>
        <w:t>谈判</w:t>
      </w:r>
      <w:r>
        <w:rPr>
          <w:rFonts w:hint="eastAsia" w:ascii="Times New Roman" w:hAnsi="Times New Roman"/>
          <w:color w:val="000000"/>
          <w:szCs w:val="21"/>
        </w:rPr>
        <w:t>保证金一份，金额为人民币（大写）</w:t>
      </w:r>
      <w:r>
        <w:rPr>
          <w:rFonts w:ascii="Times New Roman" w:hAnsi="Times New Roman"/>
          <w:color w:val="000000"/>
          <w:szCs w:val="21"/>
          <w:u w:val="single"/>
        </w:rPr>
        <w:t xml:space="preserve">        </w:t>
      </w:r>
      <w:r>
        <w:rPr>
          <w:rFonts w:hint="eastAsia" w:ascii="Times New Roman" w:hAnsi="Times New Roman"/>
          <w:color w:val="000000"/>
          <w:szCs w:val="21"/>
        </w:rPr>
        <w:t>（</w:t>
      </w:r>
      <w:r>
        <w:rPr>
          <w:rFonts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rPr>
        <w:t>）。</w:t>
      </w:r>
    </w:p>
    <w:p w14:paraId="1EA69625">
      <w:pPr>
        <w:spacing w:line="300" w:lineRule="auto"/>
        <w:ind w:firstLine="420" w:firstLineChars="200"/>
        <w:rPr>
          <w:rFonts w:ascii="Times New Roman" w:hAnsi="Times New Roman"/>
          <w:color w:val="000000"/>
          <w:szCs w:val="21"/>
        </w:rPr>
      </w:pPr>
      <w:r>
        <w:rPr>
          <w:rFonts w:ascii="Times New Roman" w:hAnsi="Times New Roman"/>
          <w:color w:val="000000"/>
          <w:szCs w:val="21"/>
        </w:rPr>
        <w:t>4</w:t>
      </w:r>
      <w:r>
        <w:rPr>
          <w:rFonts w:hint="eastAsia" w:ascii="Times New Roman" w:hAnsi="Times New Roman"/>
          <w:color w:val="000000"/>
          <w:szCs w:val="21"/>
        </w:rPr>
        <w:t>．如我方</w:t>
      </w:r>
      <w:r>
        <w:rPr>
          <w:rFonts w:hint="eastAsia" w:ascii="Times New Roman" w:hAnsi="Times New Roman"/>
          <w:color w:val="000000"/>
          <w:szCs w:val="21"/>
          <w:lang w:val="en-US" w:eastAsia="zh-CN"/>
        </w:rPr>
        <w:t>成交</w:t>
      </w:r>
      <w:r>
        <w:rPr>
          <w:rFonts w:hint="eastAsia" w:ascii="Times New Roman" w:hAnsi="Times New Roman"/>
          <w:color w:val="000000"/>
          <w:szCs w:val="21"/>
        </w:rPr>
        <w:t>：</w:t>
      </w:r>
    </w:p>
    <w:p w14:paraId="4F45FFDE">
      <w:pPr>
        <w:spacing w:line="300" w:lineRule="auto"/>
        <w:ind w:firstLine="718" w:firstLineChars="342"/>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）我方承诺在收到</w:t>
      </w:r>
      <w:r>
        <w:rPr>
          <w:rFonts w:hint="eastAsia" w:ascii="Times New Roman" w:hAnsi="Times New Roman"/>
          <w:color w:val="000000"/>
          <w:szCs w:val="21"/>
          <w:lang w:val="en-US" w:eastAsia="zh-CN"/>
        </w:rPr>
        <w:t>成交通知书</w:t>
      </w:r>
      <w:r>
        <w:rPr>
          <w:rFonts w:hint="eastAsia" w:ascii="Times New Roman" w:hAnsi="Times New Roman"/>
          <w:color w:val="000000"/>
          <w:szCs w:val="21"/>
        </w:rPr>
        <w:t>后，在</w:t>
      </w:r>
      <w:r>
        <w:rPr>
          <w:rFonts w:hint="eastAsia" w:ascii="Times New Roman" w:hAnsi="Times New Roman"/>
          <w:color w:val="000000"/>
          <w:szCs w:val="21"/>
          <w:lang w:val="en-US" w:eastAsia="zh-CN"/>
        </w:rPr>
        <w:t>成交通知书</w:t>
      </w:r>
      <w:r>
        <w:rPr>
          <w:rFonts w:hint="eastAsia" w:ascii="Times New Roman" w:hAnsi="Times New Roman"/>
          <w:color w:val="000000"/>
          <w:szCs w:val="21"/>
        </w:rPr>
        <w:t>规定的期限内与你方签订合同。</w:t>
      </w:r>
    </w:p>
    <w:p w14:paraId="5E2B0C9F">
      <w:pPr>
        <w:spacing w:line="300" w:lineRule="auto"/>
        <w:ind w:firstLine="718" w:firstLineChars="342"/>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2</w:t>
      </w:r>
      <w:r>
        <w:rPr>
          <w:rFonts w:hint="eastAsia" w:ascii="Times New Roman" w:hAnsi="Times New Roman"/>
          <w:color w:val="000000"/>
          <w:szCs w:val="21"/>
        </w:rPr>
        <w:t>）随同本</w:t>
      </w:r>
      <w:r>
        <w:rPr>
          <w:rFonts w:hint="eastAsia" w:ascii="Times New Roman" w:hAnsi="Times New Roman"/>
          <w:color w:val="000000"/>
          <w:szCs w:val="21"/>
          <w:lang w:val="en-US" w:eastAsia="zh-CN"/>
        </w:rPr>
        <w:t>报价</w:t>
      </w:r>
      <w:r>
        <w:rPr>
          <w:rFonts w:hint="eastAsia" w:ascii="Times New Roman" w:hAnsi="Times New Roman"/>
          <w:color w:val="000000"/>
          <w:szCs w:val="21"/>
        </w:rPr>
        <w:t>函递交的</w:t>
      </w:r>
      <w:r>
        <w:rPr>
          <w:rFonts w:hint="eastAsia" w:ascii="Times New Roman" w:hAnsi="Times New Roman"/>
          <w:color w:val="000000"/>
          <w:szCs w:val="21"/>
          <w:lang w:val="en-US" w:eastAsia="zh-CN"/>
        </w:rPr>
        <w:t>报价</w:t>
      </w:r>
      <w:r>
        <w:rPr>
          <w:rFonts w:hint="eastAsia" w:ascii="Times New Roman" w:hAnsi="Times New Roman"/>
          <w:color w:val="000000"/>
          <w:szCs w:val="21"/>
        </w:rPr>
        <w:t>函附录属于合同文件的组成部分。</w:t>
      </w:r>
    </w:p>
    <w:p w14:paraId="3443250E">
      <w:pPr>
        <w:spacing w:line="300" w:lineRule="auto"/>
        <w:ind w:firstLine="718" w:firstLineChars="342"/>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3</w:t>
      </w:r>
      <w:r>
        <w:rPr>
          <w:rFonts w:hint="eastAsia" w:ascii="Times New Roman" w:hAnsi="Times New Roman"/>
          <w:color w:val="000000"/>
          <w:szCs w:val="21"/>
        </w:rPr>
        <w:t>）我方承诺按照</w:t>
      </w:r>
      <w:r>
        <w:rPr>
          <w:rFonts w:hint="eastAsia" w:ascii="Times New Roman" w:hAnsi="Times New Roman"/>
          <w:color w:val="000000"/>
          <w:szCs w:val="21"/>
          <w:lang w:val="en-US" w:eastAsia="zh-CN"/>
        </w:rPr>
        <w:t>谈判</w:t>
      </w:r>
      <w:r>
        <w:rPr>
          <w:rFonts w:hint="eastAsia" w:ascii="Times New Roman" w:hAnsi="Times New Roman"/>
          <w:color w:val="000000"/>
          <w:szCs w:val="21"/>
        </w:rPr>
        <w:t>文件规定向你方递交履约担保。</w:t>
      </w:r>
    </w:p>
    <w:p w14:paraId="0B8B5F56">
      <w:pPr>
        <w:spacing w:line="300" w:lineRule="auto"/>
        <w:ind w:firstLine="718" w:firstLineChars="342"/>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4</w:t>
      </w:r>
      <w:r>
        <w:rPr>
          <w:rFonts w:hint="eastAsia" w:ascii="Times New Roman" w:hAnsi="Times New Roman"/>
          <w:color w:val="000000"/>
          <w:szCs w:val="21"/>
        </w:rPr>
        <w:t>）我方承诺在合同约定的期限</w:t>
      </w:r>
      <w:r>
        <w:rPr>
          <w:rFonts w:hint="eastAsia" w:ascii="Times New Roman" w:hAnsi="Times New Roman"/>
          <w:color w:val="000000"/>
          <w:szCs w:val="21"/>
          <w:lang w:val="en-US" w:eastAsia="zh-CN"/>
        </w:rPr>
        <w:t>交付货物</w:t>
      </w:r>
      <w:r>
        <w:rPr>
          <w:rFonts w:hint="eastAsia" w:ascii="Times New Roman" w:hAnsi="Times New Roman"/>
          <w:color w:val="000000"/>
          <w:szCs w:val="21"/>
        </w:rPr>
        <w:t>。</w:t>
      </w:r>
    </w:p>
    <w:p w14:paraId="4BC4C26D">
      <w:pPr>
        <w:spacing w:line="300" w:lineRule="auto"/>
        <w:ind w:firstLine="420" w:firstLineChars="200"/>
        <w:rPr>
          <w:rFonts w:ascii="Times New Roman" w:hAnsi="Times New Roman"/>
          <w:color w:val="000000"/>
        </w:rPr>
      </w:pPr>
      <w:r>
        <w:rPr>
          <w:rFonts w:ascii="Times New Roman" w:hAnsi="Times New Roman"/>
          <w:color w:val="000000"/>
          <w:szCs w:val="21"/>
        </w:rPr>
        <w:t>5</w:t>
      </w:r>
      <w:r>
        <w:rPr>
          <w:rFonts w:hint="eastAsia" w:ascii="Times New Roman" w:hAnsi="Times New Roman"/>
          <w:color w:val="000000"/>
          <w:szCs w:val="21"/>
        </w:rPr>
        <w:t>．</w:t>
      </w:r>
      <w:r>
        <w:rPr>
          <w:rFonts w:hint="eastAsia" w:ascii="Times New Roman" w:hAnsi="Times New Roman"/>
          <w:color w:val="000000"/>
        </w:rPr>
        <w:t>我方在此声明，所递交的</w:t>
      </w:r>
      <w:r>
        <w:rPr>
          <w:rFonts w:hint="eastAsia" w:ascii="Times New Roman" w:hAnsi="Times New Roman"/>
          <w:color w:val="000000"/>
          <w:lang w:val="en-US" w:eastAsia="zh-CN"/>
        </w:rPr>
        <w:t>响应</w:t>
      </w:r>
      <w:r>
        <w:rPr>
          <w:rFonts w:hint="eastAsia" w:ascii="Times New Roman" w:hAnsi="Times New Roman"/>
          <w:color w:val="000000"/>
        </w:rPr>
        <w:t>文件及有关资料内容完整、真实和准确。</w:t>
      </w:r>
    </w:p>
    <w:p w14:paraId="0679D859">
      <w:pPr>
        <w:spacing w:line="300" w:lineRule="auto"/>
        <w:ind w:firstLine="420" w:firstLineChars="200"/>
        <w:rPr>
          <w:rFonts w:ascii="Times New Roman" w:hAnsi="Times New Roman"/>
          <w:color w:val="000000"/>
          <w:szCs w:val="21"/>
        </w:rPr>
      </w:pPr>
      <w:r>
        <w:rPr>
          <w:rFonts w:ascii="Times New Roman" w:hAnsi="Times New Roman"/>
          <w:color w:val="000000"/>
        </w:rPr>
        <w:t>6.</w:t>
      </w:r>
      <w:r>
        <w:rPr>
          <w:rFonts w:ascii="Times New Roman" w:hAnsi="Times New Roman" w:eastAsia="方正仿宋_GB2312"/>
          <w:color w:val="000000"/>
          <w:sz w:val="28"/>
        </w:rPr>
        <w:t xml:space="preserve"> </w:t>
      </w:r>
      <w:r>
        <w:rPr>
          <w:rFonts w:hint="eastAsia" w:ascii="Times New Roman" w:hAnsi="Times New Roman"/>
          <w:color w:val="000000"/>
        </w:rPr>
        <w:t>我方承诺参加</w:t>
      </w:r>
      <w:r>
        <w:rPr>
          <w:rFonts w:hint="eastAsia" w:ascii="Times New Roman" w:hAnsi="Times New Roman"/>
          <w:color w:val="000000"/>
          <w:lang w:val="en-US" w:eastAsia="zh-CN"/>
        </w:rPr>
        <w:t>谈判</w:t>
      </w:r>
      <w:r>
        <w:rPr>
          <w:rFonts w:hint="eastAsia" w:ascii="Times New Roman" w:hAnsi="Times New Roman"/>
          <w:color w:val="000000"/>
        </w:rPr>
        <w:t>活动近三年内无违法犯罪及其它不良行为记录，如有经行政主管部门查实或通报的不良记录，我方放弃</w:t>
      </w:r>
      <w:r>
        <w:rPr>
          <w:rFonts w:hint="eastAsia" w:ascii="Times New Roman" w:hAnsi="Times New Roman"/>
          <w:color w:val="000000"/>
          <w:lang w:val="en-US" w:eastAsia="zh-CN"/>
        </w:rPr>
        <w:t>参加</w:t>
      </w:r>
      <w:r>
        <w:rPr>
          <w:rFonts w:hint="eastAsia" w:ascii="Times New Roman" w:hAnsi="Times New Roman"/>
          <w:color w:val="000000"/>
        </w:rPr>
        <w:t>本次项目</w:t>
      </w:r>
      <w:r>
        <w:rPr>
          <w:rFonts w:hint="eastAsia" w:ascii="Times New Roman" w:hAnsi="Times New Roman"/>
          <w:color w:val="000000"/>
          <w:lang w:val="en-US" w:eastAsia="zh-CN"/>
        </w:rPr>
        <w:t>谈判的</w:t>
      </w:r>
      <w:r>
        <w:rPr>
          <w:rFonts w:hint="eastAsia" w:ascii="Times New Roman" w:hAnsi="Times New Roman"/>
          <w:color w:val="000000"/>
        </w:rPr>
        <w:t>权利，并无条件承担相应后果和损失。</w:t>
      </w:r>
    </w:p>
    <w:p w14:paraId="0B8C7D07">
      <w:pPr>
        <w:spacing w:line="300" w:lineRule="auto"/>
        <w:ind w:firstLine="420" w:firstLineChars="200"/>
        <w:rPr>
          <w:rFonts w:ascii="Times New Roman" w:hAnsi="Times New Roman"/>
          <w:color w:val="000000"/>
          <w:szCs w:val="21"/>
        </w:rPr>
      </w:pPr>
      <w:r>
        <w:rPr>
          <w:rFonts w:ascii="Times New Roman" w:hAnsi="Times New Roman"/>
          <w:color w:val="000000"/>
          <w:szCs w:val="21"/>
        </w:rPr>
        <w:t>7</w:t>
      </w:r>
      <w:r>
        <w:rPr>
          <w:rFonts w:hint="eastAsia"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rPr>
        <w:t>（其他补充说明）。</w:t>
      </w:r>
    </w:p>
    <w:p w14:paraId="3BEB4297">
      <w:pPr>
        <w:spacing w:line="300" w:lineRule="auto"/>
        <w:rPr>
          <w:rFonts w:ascii="Times New Roman" w:hAnsi="Times New Roman"/>
          <w:color w:val="000000"/>
          <w:szCs w:val="21"/>
        </w:rPr>
      </w:pPr>
      <w:r>
        <w:rPr>
          <w:rFonts w:hint="eastAsia" w:ascii="Times New Roman" w:hAnsi="Times New Roman"/>
          <w:color w:val="000000"/>
          <w:szCs w:val="21"/>
          <w:lang w:val="en-US" w:eastAsia="zh-CN"/>
        </w:rPr>
        <w:t>供应商</w:t>
      </w:r>
      <w:r>
        <w:rPr>
          <w:rFonts w:hint="eastAsia"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rPr>
        <w:t>（盖单位章）</w:t>
      </w:r>
    </w:p>
    <w:p w14:paraId="290EB193">
      <w:pPr>
        <w:spacing w:line="300" w:lineRule="auto"/>
        <w:rPr>
          <w:rFonts w:ascii="Times New Roman" w:hAnsi="Times New Roman"/>
          <w:color w:val="000000"/>
          <w:szCs w:val="21"/>
        </w:rPr>
      </w:pPr>
      <w:r>
        <w:rPr>
          <w:rFonts w:hint="eastAsia" w:ascii="Times New Roman" w:hAnsi="Times New Roman"/>
          <w:color w:val="000000"/>
          <w:szCs w:val="21"/>
        </w:rPr>
        <w:t>法定代表人：</w:t>
      </w:r>
      <w:r>
        <w:rPr>
          <w:rFonts w:ascii="Times New Roman" w:hAnsi="Times New Roman"/>
          <w:color w:val="000000"/>
          <w:szCs w:val="21"/>
          <w:u w:val="single"/>
        </w:rPr>
        <w:t xml:space="preserve">                    </w:t>
      </w:r>
      <w:r>
        <w:rPr>
          <w:rFonts w:hint="eastAsia" w:ascii="Times New Roman" w:hAnsi="Times New Roman"/>
          <w:color w:val="000000"/>
          <w:szCs w:val="21"/>
        </w:rPr>
        <w:t>（签字并盖章）</w:t>
      </w:r>
    </w:p>
    <w:p w14:paraId="4D375A41">
      <w:pPr>
        <w:spacing w:line="300" w:lineRule="auto"/>
        <w:rPr>
          <w:rFonts w:ascii="Times New Roman" w:hAnsi="Times New Roman"/>
          <w:color w:val="000000"/>
          <w:szCs w:val="21"/>
        </w:rPr>
      </w:pPr>
      <w:r>
        <w:rPr>
          <w:rFonts w:hint="eastAsia" w:ascii="Times New Roman" w:hAnsi="Times New Roman"/>
          <w:color w:val="000000"/>
          <w:szCs w:val="21"/>
        </w:rPr>
        <w:t>委托代理人：</w:t>
      </w:r>
      <w:r>
        <w:rPr>
          <w:rFonts w:ascii="Times New Roman" w:hAnsi="Times New Roman"/>
          <w:color w:val="000000"/>
          <w:szCs w:val="21"/>
          <w:u w:val="single"/>
        </w:rPr>
        <w:t xml:space="preserve">                    </w:t>
      </w:r>
      <w:r>
        <w:rPr>
          <w:rFonts w:hint="eastAsia" w:ascii="Times New Roman" w:hAnsi="Times New Roman"/>
          <w:color w:val="000000"/>
          <w:szCs w:val="21"/>
        </w:rPr>
        <w:t>（签字）</w:t>
      </w:r>
    </w:p>
    <w:p w14:paraId="5894E5B5">
      <w:pPr>
        <w:spacing w:line="300" w:lineRule="auto"/>
        <w:rPr>
          <w:rFonts w:ascii="Times New Roman" w:hAnsi="Times New Roman"/>
          <w:color w:val="000000"/>
          <w:szCs w:val="21"/>
        </w:rPr>
      </w:pPr>
      <w:r>
        <w:rPr>
          <w:rFonts w:hint="eastAsia" w:ascii="Times New Roman" w:hAnsi="Times New Roman"/>
          <w:color w:val="000000"/>
          <w:szCs w:val="21"/>
        </w:rPr>
        <w:t>地址：</w:t>
      </w:r>
      <w:r>
        <w:rPr>
          <w:rFonts w:ascii="Times New Roman" w:hAnsi="Times New Roman"/>
          <w:color w:val="000000"/>
          <w:szCs w:val="21"/>
          <w:u w:val="single"/>
        </w:rPr>
        <w:t xml:space="preserve">                                     </w:t>
      </w:r>
    </w:p>
    <w:p w14:paraId="6BA8BFC0">
      <w:pPr>
        <w:spacing w:line="300" w:lineRule="auto"/>
        <w:rPr>
          <w:rFonts w:ascii="Times New Roman" w:hAnsi="Times New Roman"/>
          <w:color w:val="000000"/>
          <w:szCs w:val="21"/>
        </w:rPr>
      </w:pPr>
      <w:r>
        <w:rPr>
          <w:rFonts w:hint="eastAsia" w:ascii="Times New Roman" w:hAnsi="Times New Roman"/>
          <w:color w:val="000000"/>
          <w:szCs w:val="21"/>
        </w:rPr>
        <w:t>网址：</w:t>
      </w:r>
      <w:r>
        <w:rPr>
          <w:rFonts w:ascii="Times New Roman" w:hAnsi="Times New Roman"/>
          <w:color w:val="000000"/>
          <w:szCs w:val="21"/>
          <w:u w:val="single"/>
        </w:rPr>
        <w:t xml:space="preserve">                                     </w:t>
      </w:r>
    </w:p>
    <w:p w14:paraId="1DD2AD95">
      <w:pPr>
        <w:spacing w:line="300" w:lineRule="auto"/>
        <w:rPr>
          <w:rFonts w:ascii="Times New Roman" w:hAnsi="Times New Roman"/>
          <w:color w:val="000000"/>
          <w:szCs w:val="21"/>
        </w:rPr>
      </w:pPr>
      <w:r>
        <w:rPr>
          <w:rFonts w:hint="eastAsia" w:ascii="Times New Roman" w:hAnsi="Times New Roman"/>
          <w:color w:val="000000"/>
          <w:szCs w:val="21"/>
        </w:rPr>
        <w:t>电话：</w:t>
      </w:r>
      <w:r>
        <w:rPr>
          <w:rFonts w:ascii="Times New Roman" w:hAnsi="Times New Roman"/>
          <w:color w:val="000000"/>
          <w:szCs w:val="21"/>
          <w:u w:val="single"/>
        </w:rPr>
        <w:t xml:space="preserve">                                     </w:t>
      </w:r>
    </w:p>
    <w:p w14:paraId="716BDED7">
      <w:pPr>
        <w:spacing w:line="300" w:lineRule="auto"/>
        <w:rPr>
          <w:rFonts w:ascii="Times New Roman" w:hAnsi="Times New Roman"/>
          <w:color w:val="000000"/>
          <w:szCs w:val="21"/>
        </w:rPr>
      </w:pPr>
      <w:r>
        <w:rPr>
          <w:rFonts w:hint="eastAsia" w:ascii="Times New Roman" w:hAnsi="Times New Roman"/>
          <w:color w:val="000000"/>
          <w:szCs w:val="21"/>
        </w:rPr>
        <w:t>传真：</w:t>
      </w:r>
      <w:r>
        <w:rPr>
          <w:rFonts w:ascii="Times New Roman" w:hAnsi="Times New Roman"/>
          <w:color w:val="000000"/>
          <w:szCs w:val="21"/>
          <w:u w:val="single"/>
        </w:rPr>
        <w:t xml:space="preserve">                                     </w:t>
      </w:r>
    </w:p>
    <w:p w14:paraId="2B78FAE8">
      <w:pPr>
        <w:spacing w:line="300" w:lineRule="auto"/>
        <w:rPr>
          <w:rFonts w:ascii="Times New Roman" w:hAnsi="Times New Roman"/>
          <w:color w:val="000000"/>
          <w:szCs w:val="21"/>
        </w:rPr>
      </w:pPr>
      <w:r>
        <w:rPr>
          <w:rFonts w:hint="eastAsia" w:ascii="Times New Roman" w:hAnsi="Times New Roman"/>
          <w:color w:val="000000"/>
          <w:szCs w:val="21"/>
        </w:rPr>
        <w:t>邮政编码：</w:t>
      </w:r>
      <w:r>
        <w:rPr>
          <w:rFonts w:ascii="Times New Roman" w:hAnsi="Times New Roman"/>
          <w:color w:val="000000"/>
          <w:szCs w:val="21"/>
          <w:u w:val="single"/>
        </w:rPr>
        <w:t xml:space="preserve">                                 </w:t>
      </w:r>
    </w:p>
    <w:p w14:paraId="33915080">
      <w:pPr>
        <w:spacing w:line="300" w:lineRule="auto"/>
        <w:ind w:firstLine="105" w:firstLineChars="50"/>
        <w:jc w:val="right"/>
        <w:rPr>
          <w:rFonts w:ascii="Times New Roman" w:hAnsi="Times New Roman"/>
          <w:color w:val="000000"/>
          <w:szCs w:val="21"/>
          <w:u w:val="single"/>
        </w:rPr>
      </w:pPr>
    </w:p>
    <w:p w14:paraId="5505D419">
      <w:pPr>
        <w:spacing w:line="300" w:lineRule="auto"/>
        <w:ind w:firstLine="105" w:firstLineChars="50"/>
        <w:jc w:val="right"/>
        <w:rPr>
          <w:rFonts w:hint="eastAsia" w:ascii="Times New Roman" w:hAnsi="Times New Roman"/>
          <w:color w:val="000000"/>
          <w:szCs w:val="21"/>
        </w:rPr>
      </w:pPr>
      <w:r>
        <w:rPr>
          <w:rFonts w:hint="eastAsia" w:ascii="Times New Roman" w:hAnsi="Times New Roman"/>
          <w:color w:val="000000"/>
          <w:szCs w:val="21"/>
          <w:u w:val="none"/>
          <w:lang w:val="en-US" w:eastAsia="zh-CN"/>
        </w:rPr>
        <w:t xml:space="preserve">               </w:t>
      </w:r>
      <w:r>
        <w:rPr>
          <w:rFonts w:hint="eastAsia" w:ascii="Times New Roman" w:hAnsi="Times New Roman"/>
          <w:color w:val="000000"/>
          <w:szCs w:val="21"/>
          <w:u w:val="single"/>
          <w:lang w:val="en-US" w:eastAsia="zh-CN"/>
        </w:rPr>
        <w:t xml:space="preserve">    </w:t>
      </w:r>
      <w:r>
        <w:rPr>
          <w:rFonts w:hint="eastAsia" w:ascii="Times New Roman" w:hAnsi="Times New Roman"/>
          <w:color w:val="000000"/>
          <w:szCs w:val="21"/>
        </w:rPr>
        <w:t>年</w:t>
      </w:r>
      <w:r>
        <w:rPr>
          <w:rFonts w:ascii="Times New Roman" w:hAnsi="Times New Roman"/>
          <w:color w:val="000000"/>
          <w:szCs w:val="21"/>
          <w:u w:val="single"/>
        </w:rPr>
        <w:t xml:space="preserve">    </w:t>
      </w:r>
      <w:r>
        <w:rPr>
          <w:rFonts w:hint="eastAsia" w:ascii="Times New Roman" w:hAnsi="Times New Roman"/>
          <w:color w:val="000000"/>
          <w:szCs w:val="21"/>
        </w:rPr>
        <w:t>月</w:t>
      </w:r>
      <w:r>
        <w:rPr>
          <w:rFonts w:ascii="Times New Roman" w:hAnsi="Times New Roman"/>
          <w:color w:val="000000"/>
          <w:szCs w:val="21"/>
          <w:u w:val="single"/>
        </w:rPr>
        <w:t xml:space="preserve">   </w:t>
      </w:r>
      <w:r>
        <w:rPr>
          <w:rFonts w:hint="eastAsia" w:ascii="Times New Roman" w:hAnsi="Times New Roman"/>
          <w:color w:val="000000"/>
          <w:szCs w:val="21"/>
        </w:rPr>
        <w:t>日</w:t>
      </w:r>
    </w:p>
    <w:p w14:paraId="7EBE8F47">
      <w:pPr>
        <w:spacing w:line="300" w:lineRule="auto"/>
        <w:ind w:firstLine="5040" w:firstLineChars="2400"/>
        <w:rPr>
          <w:rFonts w:ascii="Times New Roman" w:hAnsi="Times New Roman"/>
          <w:color w:val="000000"/>
          <w:szCs w:val="21"/>
        </w:rPr>
      </w:pPr>
    </w:p>
    <w:p w14:paraId="166243D0">
      <w:pPr>
        <w:keepNext/>
        <w:keepLines/>
        <w:widowControl/>
        <w:spacing w:before="240" w:beforeLines="100" w:after="120" w:line="520" w:lineRule="exact"/>
        <w:ind w:right="601"/>
        <w:jc w:val="left"/>
        <w:outlineLvl w:val="1"/>
        <w:rPr>
          <w:rFonts w:hint="default" w:ascii="宋体" w:hAnsi="宋体" w:eastAsia="宋体" w:cs="仿宋"/>
          <w:sz w:val="24"/>
          <w:lang w:val="en-US" w:eastAsia="zh-CN"/>
        </w:rPr>
      </w:pPr>
      <w:r>
        <w:rPr>
          <w:rFonts w:ascii="Times New Roman" w:hAnsi="Times New Roman" w:eastAsia="黑体"/>
          <w:color w:val="000000"/>
          <w:sz w:val="20"/>
        </w:rPr>
        <w:br w:type="page"/>
      </w:r>
      <w:r>
        <w:rPr>
          <w:rFonts w:hint="eastAsia" w:ascii="宋体" w:hAnsi="宋体" w:eastAsia="宋体" w:cs="仿宋"/>
          <w:sz w:val="24"/>
          <w:lang w:val="en-US" w:eastAsia="zh-CN"/>
        </w:rPr>
        <w:t>2、</w:t>
      </w:r>
      <w:r>
        <w:rPr>
          <w:rFonts w:hint="eastAsia" w:ascii="宋体" w:hAnsi="宋体" w:eastAsia="宋体" w:cs="仿宋"/>
          <w:sz w:val="24"/>
          <w:lang w:val="zh-TW" w:eastAsia="zh-TW"/>
        </w:rPr>
        <w:t>法定代表人身份证明</w:t>
      </w:r>
    </w:p>
    <w:p w14:paraId="34835480">
      <w:pPr>
        <w:pStyle w:val="3"/>
        <w:spacing w:before="0" w:after="0" w:line="300" w:lineRule="auto"/>
        <w:jc w:val="center"/>
        <w:rPr>
          <w:rFonts w:hint="eastAsia" w:ascii="仿宋" w:hAnsi="仿宋" w:eastAsia="仿宋" w:cs="MingLiU-ExtB"/>
          <w:b/>
          <w:bCs/>
          <w:color w:val="000000"/>
          <w:kern w:val="0"/>
          <w:sz w:val="30"/>
          <w:szCs w:val="30"/>
          <w:shd w:val="clear" w:color="auto" w:fill="FFFFFF"/>
          <w:lang w:val="zh-TW" w:eastAsia="zh-TW" w:bidi="zh-TW"/>
        </w:rPr>
      </w:pPr>
      <w:r>
        <w:rPr>
          <w:rFonts w:hint="eastAsia" w:ascii="Times New Roman" w:hAnsi="Times New Roman"/>
          <w:b w:val="0"/>
          <w:bCs w:val="0"/>
          <w:color w:val="000000"/>
          <w:lang w:val="zh-TW" w:eastAsia="zh-TW"/>
        </w:rPr>
        <w:t>法定代表人身份证明</w:t>
      </w:r>
      <w:r>
        <w:rPr>
          <w:rFonts w:hint="eastAsia" w:ascii="仿宋" w:hAnsi="仿宋" w:eastAsia="仿宋" w:cs="MingLiU-ExtB"/>
          <w:b/>
          <w:bCs/>
          <w:color w:val="000000"/>
          <w:kern w:val="0"/>
          <w:sz w:val="30"/>
          <w:szCs w:val="30"/>
          <w:shd w:val="clear" w:color="auto" w:fill="FFFFFF"/>
          <w:lang w:val="zh-TW" w:eastAsia="zh-TW" w:bidi="zh-TW"/>
        </w:rPr>
        <w:t>(适用于法定代表人</w:t>
      </w:r>
      <w:r>
        <w:rPr>
          <w:rFonts w:hint="eastAsia" w:ascii="仿宋" w:hAnsi="仿宋" w:eastAsia="仿宋" w:cs="MingLiU-ExtB"/>
          <w:b/>
          <w:bCs/>
          <w:color w:val="000000"/>
          <w:kern w:val="0"/>
          <w:sz w:val="30"/>
          <w:szCs w:val="30"/>
          <w:shd w:val="clear" w:color="auto" w:fill="FFFFFF"/>
          <w:lang w:val="en-US" w:eastAsia="zh-CN" w:bidi="zh-TW"/>
        </w:rPr>
        <w:t>谈判</w:t>
      </w:r>
      <w:r>
        <w:rPr>
          <w:rFonts w:hint="eastAsia" w:ascii="仿宋" w:hAnsi="仿宋" w:eastAsia="仿宋" w:cs="MingLiU-ExtB"/>
          <w:b/>
          <w:bCs/>
          <w:color w:val="000000"/>
          <w:kern w:val="0"/>
          <w:sz w:val="30"/>
          <w:szCs w:val="30"/>
          <w:shd w:val="clear" w:color="auto" w:fill="FFFFFF"/>
          <w:lang w:val="zh-TW" w:eastAsia="zh-TW" w:bidi="zh-TW"/>
        </w:rPr>
        <w:t>时)</w:t>
      </w:r>
    </w:p>
    <w:p w14:paraId="7BC4CA55">
      <w:pPr>
        <w:widowControl/>
        <w:tabs>
          <w:tab w:val="left" w:leader="underscore" w:pos="3773"/>
        </w:tabs>
        <w:spacing w:before="240" w:beforeLines="100" w:line="520" w:lineRule="exact"/>
        <w:rPr>
          <w:rFonts w:ascii="仿宋" w:hAnsi="仿宋" w:eastAsia="仿宋"/>
          <w:kern w:val="0"/>
          <w:sz w:val="28"/>
          <w:szCs w:val="28"/>
        </w:rPr>
      </w:pPr>
      <w:r>
        <w:rPr>
          <w:rFonts w:hint="eastAsia" w:eastAsia="宋体" w:cs="宋体"/>
          <w:kern w:val="0"/>
          <w:sz w:val="24"/>
          <w:szCs w:val="24"/>
          <w:lang w:val="en-US" w:eastAsia="zh-CN"/>
        </w:rPr>
        <w:t>供应商</w:t>
      </w:r>
      <w:r>
        <w:rPr>
          <w:rFonts w:hint="eastAsia" w:ascii="宋体" w:hAnsi="宋体" w:eastAsia="宋体" w:cs="宋体"/>
          <w:kern w:val="0"/>
          <w:sz w:val="24"/>
          <w:szCs w:val="24"/>
        </w:rPr>
        <w:t>名称：</w:t>
      </w:r>
      <w:r>
        <w:rPr>
          <w:rFonts w:ascii="仿宋" w:hAnsi="仿宋" w:eastAsia="仿宋"/>
          <w:kern w:val="0"/>
          <w:sz w:val="28"/>
          <w:szCs w:val="28"/>
        </w:rPr>
        <w:tab/>
      </w:r>
    </w:p>
    <w:p w14:paraId="5617D2CF">
      <w:pPr>
        <w:widowControl/>
        <w:tabs>
          <w:tab w:val="left" w:leader="underscore" w:pos="2304"/>
          <w:tab w:val="left" w:leader="underscore" w:pos="3773"/>
          <w:tab w:val="left" w:leader="underscore" w:pos="5262"/>
          <w:tab w:val="left" w:leader="underscore" w:pos="6715"/>
        </w:tabs>
        <w:spacing w:line="520" w:lineRule="exact"/>
        <w:rPr>
          <w:rFonts w:ascii="仿宋" w:hAnsi="仿宋" w:eastAsia="仿宋"/>
          <w:kern w:val="0"/>
          <w:sz w:val="28"/>
          <w:szCs w:val="28"/>
        </w:rPr>
      </w:pPr>
      <w:r>
        <w:rPr>
          <w:rFonts w:hint="eastAsia" w:ascii="宋体" w:hAnsi="宋体" w:eastAsia="宋体" w:cs="宋体"/>
          <w:kern w:val="0"/>
          <w:sz w:val="24"/>
          <w:szCs w:val="24"/>
        </w:rPr>
        <w:t>姓名</w:t>
      </w:r>
      <w:r>
        <w:rPr>
          <w:rFonts w:ascii="仿宋" w:hAnsi="仿宋" w:eastAsia="仿宋"/>
          <w:kern w:val="0"/>
          <w:sz w:val="28"/>
          <w:szCs w:val="28"/>
        </w:rPr>
        <w:t>：</w:t>
      </w:r>
      <w:r>
        <w:rPr>
          <w:rFonts w:ascii="仿宋" w:hAnsi="仿宋" w:eastAsia="仿宋"/>
          <w:kern w:val="0"/>
          <w:sz w:val="28"/>
          <w:szCs w:val="28"/>
        </w:rPr>
        <w:tab/>
      </w:r>
      <w:r>
        <w:rPr>
          <w:rFonts w:hint="eastAsia" w:ascii="宋体" w:hAnsi="宋体" w:eastAsia="宋体" w:cs="宋体"/>
          <w:kern w:val="0"/>
          <w:sz w:val="24"/>
          <w:szCs w:val="24"/>
        </w:rPr>
        <w:t>性别：</w:t>
      </w:r>
      <w:r>
        <w:rPr>
          <w:rFonts w:ascii="仿宋" w:hAnsi="仿宋" w:eastAsia="仿宋"/>
          <w:kern w:val="0"/>
          <w:sz w:val="28"/>
          <w:szCs w:val="28"/>
        </w:rPr>
        <w:tab/>
      </w:r>
      <w:r>
        <w:rPr>
          <w:rFonts w:hint="eastAsia" w:ascii="宋体" w:hAnsi="宋体" w:eastAsia="宋体" w:cs="宋体"/>
          <w:kern w:val="0"/>
          <w:sz w:val="24"/>
          <w:szCs w:val="24"/>
        </w:rPr>
        <w:t>年龄</w:t>
      </w:r>
      <w:r>
        <w:rPr>
          <w:rFonts w:ascii="仿宋" w:hAnsi="仿宋" w:eastAsia="仿宋"/>
          <w:kern w:val="0"/>
          <w:sz w:val="28"/>
          <w:szCs w:val="28"/>
        </w:rPr>
        <w:t>：</w:t>
      </w:r>
      <w:r>
        <w:rPr>
          <w:rFonts w:ascii="仿宋" w:hAnsi="仿宋" w:eastAsia="仿宋"/>
          <w:kern w:val="0"/>
          <w:sz w:val="28"/>
          <w:szCs w:val="28"/>
        </w:rPr>
        <w:tab/>
      </w:r>
      <w:r>
        <w:rPr>
          <w:rFonts w:hint="eastAsia" w:ascii="宋体" w:hAnsi="宋体" w:eastAsia="宋体" w:cs="宋体"/>
          <w:kern w:val="0"/>
          <w:sz w:val="24"/>
          <w:szCs w:val="24"/>
        </w:rPr>
        <w:t>职务：</w:t>
      </w:r>
      <w:r>
        <w:rPr>
          <w:rFonts w:ascii="仿宋" w:hAnsi="仿宋" w:eastAsia="仿宋"/>
          <w:kern w:val="0"/>
          <w:sz w:val="28"/>
          <w:szCs w:val="28"/>
        </w:rPr>
        <w:tab/>
      </w:r>
    </w:p>
    <w:p w14:paraId="69AD6F52">
      <w:pPr>
        <w:widowControl/>
        <w:tabs>
          <w:tab w:val="left" w:leader="underscore" w:pos="2731"/>
        </w:tabs>
        <w:spacing w:line="520" w:lineRule="exact"/>
        <w:rPr>
          <w:rFonts w:ascii="仿宋" w:hAnsi="仿宋" w:eastAsia="仿宋"/>
          <w:kern w:val="0"/>
          <w:sz w:val="28"/>
          <w:szCs w:val="28"/>
        </w:rPr>
      </w:pPr>
      <w:r>
        <w:rPr>
          <w:rFonts w:hint="eastAsia" w:ascii="宋体" w:hAnsi="宋体" w:eastAsia="宋体" w:cs="宋体"/>
          <w:kern w:val="0"/>
          <w:sz w:val="24"/>
          <w:szCs w:val="24"/>
        </w:rPr>
        <w:t>系</w:t>
      </w:r>
      <w:r>
        <w:rPr>
          <w:rFonts w:ascii="仿宋" w:hAnsi="仿宋" w:eastAsia="仿宋"/>
          <w:kern w:val="0"/>
          <w:sz w:val="28"/>
          <w:szCs w:val="28"/>
        </w:rPr>
        <w:tab/>
      </w:r>
      <w:r>
        <w:rPr>
          <w:rFonts w:ascii="仿宋" w:hAnsi="仿宋" w:eastAsia="仿宋"/>
          <w:kern w:val="0"/>
          <w:sz w:val="28"/>
          <w:szCs w:val="28"/>
        </w:rPr>
        <w:t>(</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名称）的法定代表人（单位负责人)</w:t>
      </w:r>
    </w:p>
    <w:p w14:paraId="4B48EC2C">
      <w:pPr>
        <w:widowControl/>
        <w:tabs>
          <w:tab w:val="left" w:leader="underscore" w:pos="2731"/>
        </w:tabs>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特此证明。</w:t>
      </w:r>
    </w:p>
    <w:p w14:paraId="275D75C7">
      <w:pPr>
        <w:widowControl/>
        <w:tabs>
          <w:tab w:val="left" w:leader="underscore" w:pos="2731"/>
        </w:tabs>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附：法定代表人（单位负责人）身份证复印件。</w:t>
      </w:r>
    </w:p>
    <w:p w14:paraId="3B4C3857">
      <w:pPr>
        <w:widowControl/>
        <w:tabs>
          <w:tab w:val="left" w:leader="underscore" w:pos="2731"/>
        </w:tabs>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注：本身份证明需由</w:t>
      </w:r>
      <w:r>
        <w:rPr>
          <w:rFonts w:hint="eastAsia" w:eastAsia="宋体" w:cs="宋体"/>
          <w:kern w:val="0"/>
          <w:sz w:val="24"/>
          <w:szCs w:val="24"/>
          <w:lang w:val="en-US" w:eastAsia="zh-CN"/>
        </w:rPr>
        <w:t>供应商</w:t>
      </w:r>
      <w:r>
        <w:rPr>
          <w:rFonts w:hint="eastAsia" w:ascii="宋体" w:hAnsi="宋体" w:eastAsia="宋体" w:cs="宋体"/>
          <w:kern w:val="0"/>
          <w:sz w:val="24"/>
          <w:szCs w:val="24"/>
        </w:rPr>
        <w:t>加盖单位公章。</w:t>
      </w:r>
    </w:p>
    <w:p w14:paraId="1731C179">
      <w:pPr>
        <w:widowControl/>
        <w:spacing w:after="1057" w:line="520" w:lineRule="exact"/>
        <w:rPr>
          <w:rFonts w:ascii="仿宋" w:hAnsi="仿宋" w:eastAsia="仿宋"/>
          <w:kern w:val="0"/>
          <w:sz w:val="28"/>
          <w:szCs w:val="28"/>
        </w:rPr>
      </w:pPr>
    </w:p>
    <w:p w14:paraId="5ADBEE41">
      <w:pPr>
        <w:widowControl/>
        <w:tabs>
          <w:tab w:val="left" w:leader="underscore" w:pos="6434"/>
        </w:tabs>
        <w:spacing w:after="642" w:line="520" w:lineRule="exact"/>
        <w:ind w:left="4140"/>
        <w:rPr>
          <w:rFonts w:hint="eastAsia" w:ascii="宋体" w:hAnsi="宋体" w:eastAsia="宋体" w:cs="宋体"/>
          <w:kern w:val="0"/>
          <w:sz w:val="24"/>
          <w:szCs w:val="24"/>
        </w:rPr>
      </w:pPr>
      <w:r>
        <w:rPr>
          <w:rFonts w:hint="eastAsia" w:eastAsia="宋体" w:cs="宋体"/>
          <w:color w:val="000000"/>
          <w:spacing w:val="-10"/>
          <w:kern w:val="0"/>
          <w:sz w:val="24"/>
          <w:szCs w:val="24"/>
          <w:lang w:val="en-US" w:eastAsia="zh-CN" w:bidi="zh-TW"/>
        </w:rPr>
        <w:t>供应商</w:t>
      </w:r>
      <w:r>
        <w:rPr>
          <w:rFonts w:hint="eastAsia" w:ascii="宋体" w:hAnsi="宋体" w:eastAsia="宋体" w:cs="宋体"/>
          <w:color w:val="000000"/>
          <w:spacing w:val="-10"/>
          <w:kern w:val="0"/>
          <w:sz w:val="24"/>
          <w:szCs w:val="24"/>
          <w:lang w:val="zh-TW" w:eastAsia="zh-TW" w:bidi="zh-TW"/>
        </w:rPr>
        <w:t>：</w:t>
      </w:r>
      <w:r>
        <w:rPr>
          <w:rFonts w:hint="eastAsia" w:ascii="宋体" w:hAnsi="宋体" w:eastAsia="宋体" w:cs="宋体"/>
          <w:kern w:val="0"/>
          <w:sz w:val="24"/>
          <w:szCs w:val="24"/>
        </w:rPr>
        <w:tab/>
      </w:r>
      <w:r>
        <w:rPr>
          <w:rFonts w:hint="eastAsia" w:ascii="宋体" w:hAnsi="宋体" w:eastAsia="宋体" w:cs="宋体"/>
          <w:kern w:val="0"/>
          <w:sz w:val="24"/>
          <w:szCs w:val="24"/>
        </w:rPr>
        <w:t>(单位公章)</w:t>
      </w:r>
    </w:p>
    <w:p w14:paraId="6BCFDF15">
      <w:pPr>
        <w:widowControl/>
        <w:tabs>
          <w:tab w:val="left" w:leader="underscore" w:pos="5262"/>
          <w:tab w:val="left" w:leader="underscore" w:pos="5980"/>
          <w:tab w:val="left" w:leader="underscore" w:pos="6958"/>
        </w:tabs>
        <w:spacing w:line="520" w:lineRule="exact"/>
        <w:ind w:left="4640"/>
        <w:rPr>
          <w:rFonts w:hint="eastAsia" w:ascii="宋体" w:hAnsi="宋体" w:eastAsia="宋体" w:cs="宋体"/>
          <w:kern w:val="0"/>
          <w:sz w:val="24"/>
          <w:szCs w:val="24"/>
        </w:rPr>
      </w:pPr>
      <w:r>
        <w:rPr>
          <w:rFonts w:hint="eastAsia" w:ascii="宋体" w:hAnsi="宋体" w:eastAsia="宋体" w:cs="宋体"/>
          <w:kern w:val="0"/>
          <w:sz w:val="24"/>
          <w:szCs w:val="24"/>
        </w:rPr>
        <w:t>年月日</w:t>
      </w:r>
    </w:p>
    <w:p w14:paraId="5BA5734F">
      <w:pPr>
        <w:spacing w:line="360" w:lineRule="auto"/>
        <w:ind w:firstLine="400" w:firstLineChars="200"/>
        <w:rPr>
          <w:rFonts w:ascii="Times New Roman" w:hAnsi="Times New Roman" w:eastAsia="黑体"/>
          <w:color w:val="000000"/>
          <w:sz w:val="20"/>
        </w:rPr>
      </w:pPr>
    </w:p>
    <w:p w14:paraId="4C0D1896">
      <w:pPr>
        <w:pStyle w:val="12"/>
        <w:rPr>
          <w:rFonts w:ascii="Times New Roman" w:hAnsi="Times New Roman" w:eastAsia="黑体"/>
          <w:color w:val="000000"/>
          <w:sz w:val="20"/>
        </w:rPr>
      </w:pPr>
    </w:p>
    <w:p w14:paraId="6767C91C">
      <w:pPr>
        <w:pStyle w:val="12"/>
        <w:rPr>
          <w:rFonts w:ascii="Times New Roman" w:hAnsi="Times New Roman" w:eastAsia="黑体"/>
          <w:color w:val="000000"/>
          <w:sz w:val="20"/>
        </w:rPr>
      </w:pPr>
    </w:p>
    <w:p w14:paraId="500C2790">
      <w:pPr>
        <w:pStyle w:val="12"/>
        <w:rPr>
          <w:rFonts w:ascii="Times New Roman" w:hAnsi="Times New Roman" w:eastAsia="黑体"/>
          <w:color w:val="000000"/>
          <w:sz w:val="20"/>
        </w:rPr>
      </w:pPr>
    </w:p>
    <w:p w14:paraId="1F87B73D">
      <w:pPr>
        <w:pStyle w:val="12"/>
        <w:rPr>
          <w:rFonts w:ascii="Times New Roman" w:hAnsi="Times New Roman" w:eastAsia="黑体"/>
          <w:color w:val="000000"/>
          <w:sz w:val="20"/>
        </w:rPr>
      </w:pPr>
    </w:p>
    <w:p w14:paraId="4376AFB0">
      <w:pPr>
        <w:pStyle w:val="12"/>
        <w:rPr>
          <w:rFonts w:ascii="Times New Roman" w:hAnsi="Times New Roman" w:eastAsia="黑体"/>
          <w:color w:val="000000"/>
          <w:sz w:val="20"/>
        </w:rPr>
      </w:pPr>
    </w:p>
    <w:p w14:paraId="5CDC15EC">
      <w:pPr>
        <w:pStyle w:val="12"/>
        <w:rPr>
          <w:rFonts w:ascii="Times New Roman" w:hAnsi="Times New Roman" w:eastAsia="黑体"/>
          <w:color w:val="000000"/>
          <w:sz w:val="20"/>
        </w:rPr>
      </w:pPr>
    </w:p>
    <w:p w14:paraId="0092A12B">
      <w:pPr>
        <w:pStyle w:val="12"/>
        <w:rPr>
          <w:rFonts w:ascii="Times New Roman" w:hAnsi="Times New Roman" w:eastAsia="黑体"/>
          <w:color w:val="000000"/>
          <w:sz w:val="20"/>
        </w:rPr>
      </w:pPr>
    </w:p>
    <w:p w14:paraId="79CCDA58">
      <w:pPr>
        <w:pStyle w:val="12"/>
        <w:rPr>
          <w:rFonts w:ascii="Times New Roman" w:hAnsi="Times New Roman" w:eastAsia="黑体"/>
          <w:color w:val="000000"/>
          <w:sz w:val="20"/>
        </w:rPr>
      </w:pPr>
    </w:p>
    <w:p w14:paraId="07855756">
      <w:pPr>
        <w:pStyle w:val="12"/>
        <w:rPr>
          <w:rFonts w:ascii="Times New Roman" w:hAnsi="Times New Roman" w:eastAsia="黑体"/>
          <w:color w:val="000000"/>
          <w:sz w:val="20"/>
        </w:rPr>
      </w:pPr>
    </w:p>
    <w:p w14:paraId="7A582D11">
      <w:pPr>
        <w:pStyle w:val="12"/>
        <w:rPr>
          <w:rFonts w:ascii="Times New Roman" w:hAnsi="Times New Roman" w:eastAsia="黑体"/>
          <w:color w:val="000000"/>
          <w:sz w:val="20"/>
        </w:rPr>
      </w:pPr>
    </w:p>
    <w:p w14:paraId="673A6164">
      <w:pPr>
        <w:pStyle w:val="12"/>
        <w:rPr>
          <w:rFonts w:ascii="Times New Roman" w:hAnsi="Times New Roman" w:eastAsia="黑体"/>
          <w:color w:val="000000"/>
          <w:sz w:val="20"/>
        </w:rPr>
      </w:pPr>
    </w:p>
    <w:p w14:paraId="4FEC539B">
      <w:pPr>
        <w:pStyle w:val="12"/>
        <w:rPr>
          <w:rFonts w:ascii="Times New Roman" w:hAnsi="Times New Roman" w:eastAsia="黑体"/>
          <w:color w:val="000000"/>
          <w:sz w:val="20"/>
        </w:rPr>
      </w:pPr>
    </w:p>
    <w:p w14:paraId="0D6647B7">
      <w:pPr>
        <w:spacing w:line="360" w:lineRule="auto"/>
        <w:rPr>
          <w:rFonts w:ascii="宋体" w:hAnsi="宋体" w:cs="仿宋"/>
          <w:sz w:val="24"/>
        </w:rPr>
      </w:pPr>
      <w:r>
        <w:rPr>
          <w:rFonts w:hint="eastAsia" w:cs="仿宋"/>
          <w:sz w:val="24"/>
          <w:lang w:val="en-US" w:eastAsia="zh-CN"/>
        </w:rPr>
        <w:t>3、</w:t>
      </w:r>
      <w:r>
        <w:rPr>
          <w:rFonts w:hint="eastAsia" w:ascii="宋体" w:hAnsi="宋体" w:cs="仿宋"/>
          <w:sz w:val="24"/>
        </w:rPr>
        <w:t>授权委托书</w:t>
      </w:r>
    </w:p>
    <w:p w14:paraId="1EF76405">
      <w:pPr>
        <w:pStyle w:val="3"/>
        <w:spacing w:before="0" w:after="0" w:line="300" w:lineRule="auto"/>
        <w:jc w:val="center"/>
        <w:rPr>
          <w:rFonts w:ascii="Times New Roman" w:hAnsi="Times New Roman"/>
          <w:b w:val="0"/>
          <w:bCs w:val="0"/>
          <w:color w:val="000000"/>
        </w:rPr>
      </w:pPr>
      <w:r>
        <w:rPr>
          <w:rFonts w:hint="eastAsia" w:ascii="Times New Roman" w:hAnsi="Times New Roman"/>
          <w:b w:val="0"/>
          <w:bCs w:val="0"/>
          <w:color w:val="000000"/>
        </w:rPr>
        <w:t>授权委托书</w:t>
      </w:r>
      <w:r>
        <w:rPr>
          <w:rFonts w:hint="eastAsia" w:ascii="仿宋" w:hAnsi="仿宋" w:eastAsia="仿宋" w:cs="MingLiU-ExtB"/>
          <w:color w:val="000000"/>
          <w:kern w:val="0"/>
          <w:sz w:val="30"/>
          <w:szCs w:val="30"/>
          <w:shd w:val="clear" w:color="auto" w:fill="FFFFFF"/>
          <w:lang w:val="zh-TW" w:eastAsia="zh-TW" w:bidi="zh-TW"/>
        </w:rPr>
        <w:t>(适用于委托代理人</w:t>
      </w:r>
      <w:r>
        <w:rPr>
          <w:rFonts w:hint="eastAsia" w:ascii="仿宋" w:hAnsi="仿宋" w:eastAsia="仿宋" w:cs="MingLiU-ExtB"/>
          <w:color w:val="000000"/>
          <w:kern w:val="0"/>
          <w:sz w:val="30"/>
          <w:szCs w:val="30"/>
          <w:shd w:val="clear" w:color="auto" w:fill="FFFFFF"/>
          <w:lang w:val="en-US" w:eastAsia="zh-CN" w:bidi="zh-TW"/>
        </w:rPr>
        <w:t>谈判</w:t>
      </w:r>
      <w:r>
        <w:rPr>
          <w:rFonts w:hint="eastAsia" w:ascii="仿宋" w:hAnsi="仿宋" w:eastAsia="仿宋" w:cs="MingLiU-ExtB"/>
          <w:color w:val="000000"/>
          <w:kern w:val="0"/>
          <w:sz w:val="30"/>
          <w:szCs w:val="30"/>
          <w:shd w:val="clear" w:color="auto" w:fill="FFFFFF"/>
          <w:lang w:val="zh-TW" w:eastAsia="zh-TW" w:bidi="zh-TW"/>
        </w:rPr>
        <w:t>时)</w:t>
      </w:r>
    </w:p>
    <w:p w14:paraId="3FE7DF47">
      <w:pPr>
        <w:spacing w:line="300" w:lineRule="auto"/>
        <w:rPr>
          <w:rFonts w:ascii="Times New Roman" w:hAnsi="Times New Roman" w:eastAsia="黑体"/>
          <w:color w:val="000000"/>
          <w:szCs w:val="21"/>
        </w:rPr>
      </w:pPr>
    </w:p>
    <w:p w14:paraId="5FF17522">
      <w:pPr>
        <w:topLinePunct/>
        <w:spacing w:line="300" w:lineRule="auto"/>
        <w:ind w:firstLine="420" w:firstLineChars="200"/>
        <w:rPr>
          <w:rFonts w:ascii="Times New Roman" w:hAnsi="Times New Roman"/>
          <w:color w:val="000000"/>
          <w:szCs w:val="21"/>
        </w:rPr>
      </w:pPr>
      <w:r>
        <w:rPr>
          <w:rFonts w:hint="eastAsia" w:ascii="Times New Roman" w:hAnsi="Times New Roman"/>
          <w:color w:val="000000"/>
          <w:szCs w:val="21"/>
        </w:rPr>
        <w:t>本人</w:t>
      </w:r>
      <w:r>
        <w:rPr>
          <w:rFonts w:ascii="Times New Roman" w:hAnsi="Times New Roman"/>
          <w:color w:val="000000"/>
          <w:szCs w:val="21"/>
          <w:u w:val="single"/>
        </w:rPr>
        <w:t xml:space="preserve">       </w:t>
      </w:r>
      <w:r>
        <w:rPr>
          <w:rFonts w:hint="eastAsia" w:ascii="Times New Roman" w:hAnsi="Times New Roman"/>
          <w:color w:val="000000"/>
          <w:szCs w:val="21"/>
        </w:rPr>
        <w:t>（姓名）系</w:t>
      </w:r>
      <w:r>
        <w:rPr>
          <w:rFonts w:ascii="Times New Roman" w:hAnsi="Times New Roman"/>
          <w:color w:val="000000"/>
          <w:szCs w:val="21"/>
          <w:u w:val="single"/>
        </w:rPr>
        <w:t xml:space="preserve">        </w:t>
      </w:r>
      <w:r>
        <w:rPr>
          <w:rFonts w:hint="eastAsia" w:ascii="Times New Roman" w:hAnsi="Times New Roman"/>
          <w:color w:val="000000"/>
          <w:szCs w:val="21"/>
        </w:rPr>
        <w:t>（名称）的法定代表人，现委托</w:t>
      </w:r>
      <w:r>
        <w:rPr>
          <w:rFonts w:ascii="Times New Roman" w:hAnsi="Times New Roman"/>
          <w:color w:val="000000"/>
          <w:szCs w:val="21"/>
          <w:u w:val="single"/>
        </w:rPr>
        <w:t xml:space="preserve">        </w:t>
      </w:r>
      <w:r>
        <w:rPr>
          <w:rFonts w:hint="eastAsia" w:ascii="Times New Roman" w:hAnsi="Times New Roman"/>
          <w:color w:val="000000"/>
          <w:szCs w:val="21"/>
        </w:rPr>
        <w:t>（姓名）为我方代理人。代理人根据授权，以我方名义签署、澄清、说明、补正、递交、撤回、修改</w:t>
      </w:r>
      <w:r>
        <w:rPr>
          <w:rFonts w:ascii="Times New Roman" w:hAnsi="Times New Roman"/>
          <w:color w:val="000000"/>
          <w:szCs w:val="21"/>
          <w:u w:val="single"/>
        </w:rPr>
        <w:t xml:space="preserve">           </w:t>
      </w:r>
      <w:r>
        <w:rPr>
          <w:rFonts w:hint="eastAsia" w:ascii="Times New Roman" w:hAnsi="Times New Roman"/>
          <w:color w:val="000000"/>
          <w:szCs w:val="21"/>
        </w:rPr>
        <w:t>（项目名称）</w:t>
      </w:r>
      <w:r>
        <w:rPr>
          <w:rFonts w:hint="eastAsia" w:ascii="Times New Roman" w:hAnsi="Times New Roman"/>
          <w:color w:val="000000"/>
          <w:szCs w:val="21"/>
          <w:lang w:val="en-US" w:eastAsia="zh-CN"/>
        </w:rPr>
        <w:t>响应</w:t>
      </w:r>
      <w:r>
        <w:rPr>
          <w:rFonts w:hint="eastAsia" w:ascii="Times New Roman" w:hAnsi="Times New Roman"/>
          <w:color w:val="000000"/>
          <w:szCs w:val="21"/>
        </w:rPr>
        <w:t>文件、签订合同和处理有关事宜，其法律后果由我方承担。</w:t>
      </w:r>
    </w:p>
    <w:p w14:paraId="0C1D3AD6">
      <w:pPr>
        <w:spacing w:line="300" w:lineRule="auto"/>
        <w:rPr>
          <w:rFonts w:ascii="Times New Roman" w:hAnsi="Times New Roman"/>
          <w:color w:val="000000"/>
          <w:szCs w:val="21"/>
        </w:rPr>
      </w:pPr>
      <w:r>
        <w:rPr>
          <w:rFonts w:ascii="Times New Roman" w:hAnsi="Times New Roman"/>
          <w:color w:val="000000"/>
          <w:szCs w:val="21"/>
        </w:rPr>
        <w:t xml:space="preserve">    </w:t>
      </w:r>
      <w:r>
        <w:rPr>
          <w:rFonts w:hint="eastAsia" w:ascii="Times New Roman" w:hAnsi="Times New Roman"/>
          <w:color w:val="000000"/>
          <w:szCs w:val="21"/>
        </w:rPr>
        <w:t>委托期限：</w:t>
      </w:r>
      <w:r>
        <w:rPr>
          <w:rFonts w:ascii="Times New Roman" w:hAnsi="Times New Roman"/>
          <w:color w:val="000000"/>
          <w:szCs w:val="21"/>
          <w:u w:val="single"/>
        </w:rPr>
        <w:t xml:space="preserve">             </w:t>
      </w:r>
      <w:r>
        <w:rPr>
          <w:rFonts w:hint="eastAsia" w:ascii="Times New Roman" w:hAnsi="Times New Roman"/>
          <w:color w:val="000000"/>
          <w:szCs w:val="21"/>
        </w:rPr>
        <w:t>。</w:t>
      </w:r>
    </w:p>
    <w:p w14:paraId="52A52F3C">
      <w:pPr>
        <w:spacing w:line="300" w:lineRule="auto"/>
        <w:ind w:firstLine="420" w:firstLineChars="200"/>
        <w:rPr>
          <w:rFonts w:ascii="Times New Roman" w:hAnsi="Times New Roman"/>
          <w:color w:val="000000"/>
          <w:szCs w:val="21"/>
        </w:rPr>
      </w:pPr>
      <w:r>
        <w:rPr>
          <w:rFonts w:hint="eastAsia" w:ascii="Times New Roman" w:hAnsi="Times New Roman"/>
          <w:color w:val="000000"/>
          <w:szCs w:val="21"/>
        </w:rPr>
        <w:t>代理人无转委托权。</w:t>
      </w:r>
    </w:p>
    <w:p w14:paraId="1C998E0A">
      <w:pPr>
        <w:topLinePunct/>
        <w:spacing w:line="360" w:lineRule="auto"/>
        <w:ind w:firstLine="480" w:firstLineChars="200"/>
        <w:rPr>
          <w:rFonts w:ascii="宋体" w:hAnsi="宋体" w:cs="仿宋"/>
          <w:sz w:val="24"/>
        </w:rPr>
      </w:pPr>
      <w:r>
        <w:rPr>
          <w:rFonts w:hint="eastAsia" w:ascii="宋体" w:hAnsi="宋体" w:cs="仿宋"/>
          <w:sz w:val="24"/>
        </w:rPr>
        <w:t>附</w:t>
      </w:r>
      <w:r>
        <w:rPr>
          <w:rFonts w:hint="eastAsia" w:cs="仿宋"/>
          <w:sz w:val="24"/>
          <w:lang w:eastAsia="zh-CN"/>
        </w:rPr>
        <w:t>：（</w:t>
      </w:r>
      <w:r>
        <w:rPr>
          <w:rFonts w:hint="eastAsia" w:cs="仿宋"/>
          <w:sz w:val="24"/>
          <w:lang w:val="en-US" w:eastAsia="zh-CN"/>
        </w:rPr>
        <w:t>1</w:t>
      </w:r>
      <w:r>
        <w:rPr>
          <w:rFonts w:hint="eastAsia" w:cs="仿宋"/>
          <w:sz w:val="24"/>
          <w:lang w:eastAsia="zh-CN"/>
        </w:rPr>
        <w:t>）</w:t>
      </w:r>
      <w:r>
        <w:rPr>
          <w:rFonts w:hint="eastAsia" w:ascii="宋体" w:hAnsi="宋体" w:cs="仿宋"/>
          <w:sz w:val="24"/>
        </w:rPr>
        <w:t>法定代表人身份证复印件。</w:t>
      </w:r>
    </w:p>
    <w:p w14:paraId="26C9583F">
      <w:pPr>
        <w:numPr>
          <w:ilvl w:val="0"/>
          <w:numId w:val="0"/>
        </w:numPr>
        <w:topLinePunct/>
        <w:spacing w:line="360" w:lineRule="auto"/>
        <w:ind w:firstLine="960" w:firstLineChars="400"/>
        <w:rPr>
          <w:rFonts w:hint="eastAsia" w:ascii="宋体" w:hAnsi="宋体" w:cs="仿宋"/>
          <w:sz w:val="24"/>
        </w:rPr>
      </w:pPr>
      <w:r>
        <w:rPr>
          <w:rFonts w:hint="eastAsia" w:cs="仿宋"/>
          <w:sz w:val="24"/>
          <w:lang w:val="en-US" w:eastAsia="zh-CN"/>
        </w:rPr>
        <w:t>（2）</w:t>
      </w:r>
      <w:r>
        <w:rPr>
          <w:rFonts w:hint="eastAsia" w:ascii="宋体" w:hAnsi="宋体" w:cs="仿宋"/>
          <w:sz w:val="24"/>
        </w:rPr>
        <w:t>委托代理人身份证复印件。</w:t>
      </w:r>
    </w:p>
    <w:p w14:paraId="01E30E5F">
      <w:pPr>
        <w:numPr>
          <w:ilvl w:val="0"/>
          <w:numId w:val="0"/>
        </w:numPr>
        <w:topLinePunct/>
        <w:spacing w:line="360" w:lineRule="auto"/>
        <w:ind w:firstLine="960" w:firstLineChars="400"/>
        <w:rPr>
          <w:rFonts w:hint="eastAsia" w:ascii="宋体" w:hAnsi="宋体" w:eastAsia="宋体" w:cs="仿宋"/>
          <w:sz w:val="24"/>
          <w:lang w:val="en-US" w:eastAsia="zh-CN"/>
        </w:rPr>
      </w:pPr>
      <w:r>
        <w:rPr>
          <w:rFonts w:hint="eastAsia" w:cs="仿宋"/>
          <w:sz w:val="24"/>
          <w:lang w:val="en-US" w:eastAsia="zh-CN"/>
        </w:rPr>
        <w:t>（3）</w:t>
      </w:r>
      <w:r>
        <w:rPr>
          <w:rFonts w:hint="eastAsia" w:ascii="宋体" w:hAnsi="宋体" w:cs="仿宋"/>
          <w:sz w:val="24"/>
        </w:rPr>
        <w:t>委托代理人</w:t>
      </w:r>
      <w:r>
        <w:rPr>
          <w:rFonts w:hint="eastAsia" w:ascii="宋体" w:hAnsi="宋体" w:cs="仿宋"/>
          <w:sz w:val="24"/>
          <w:lang w:val="en-US" w:eastAsia="zh-CN"/>
        </w:rPr>
        <w:t>社保证明。</w:t>
      </w:r>
    </w:p>
    <w:p w14:paraId="246C2134">
      <w:pPr>
        <w:spacing w:line="300" w:lineRule="auto"/>
        <w:rPr>
          <w:rFonts w:ascii="Times New Roman" w:hAnsi="Times New Roman"/>
          <w:color w:val="000000"/>
          <w:szCs w:val="21"/>
        </w:rPr>
      </w:pPr>
    </w:p>
    <w:p w14:paraId="4289D575">
      <w:pPr>
        <w:spacing w:line="300" w:lineRule="auto"/>
        <w:rPr>
          <w:rFonts w:ascii="Times New Roman" w:hAnsi="Times New Roman"/>
          <w:color w:val="000000"/>
          <w:szCs w:val="21"/>
        </w:rPr>
      </w:pPr>
    </w:p>
    <w:p w14:paraId="24BAA551">
      <w:pPr>
        <w:spacing w:line="300" w:lineRule="auto"/>
        <w:rPr>
          <w:rFonts w:ascii="Times New Roman" w:hAnsi="Times New Roman"/>
          <w:color w:val="000000"/>
          <w:szCs w:val="21"/>
        </w:rPr>
      </w:pPr>
      <w:r>
        <w:rPr>
          <w:rFonts w:hint="eastAsia" w:ascii="Times New Roman" w:hAnsi="Times New Roman"/>
          <w:color w:val="000000"/>
          <w:szCs w:val="21"/>
          <w:lang w:val="en-US" w:eastAsia="zh-CN"/>
        </w:rPr>
        <w:t>供应商</w:t>
      </w:r>
      <w:r>
        <w:rPr>
          <w:rFonts w:hint="eastAsia"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rPr>
        <w:t>（盖单位章）</w:t>
      </w:r>
    </w:p>
    <w:p w14:paraId="0ECCCDC7">
      <w:pPr>
        <w:spacing w:line="300" w:lineRule="auto"/>
        <w:rPr>
          <w:rFonts w:ascii="Times New Roman" w:hAnsi="Times New Roman"/>
          <w:color w:val="000000"/>
          <w:szCs w:val="21"/>
        </w:rPr>
      </w:pPr>
    </w:p>
    <w:p w14:paraId="11DB1A97">
      <w:pPr>
        <w:spacing w:line="300" w:lineRule="auto"/>
        <w:rPr>
          <w:rFonts w:ascii="Times New Roman" w:hAnsi="Times New Roman"/>
          <w:color w:val="000000"/>
          <w:szCs w:val="21"/>
        </w:rPr>
      </w:pPr>
      <w:r>
        <w:rPr>
          <w:rFonts w:hint="eastAsia" w:ascii="Times New Roman" w:hAnsi="Times New Roman"/>
          <w:color w:val="000000"/>
          <w:szCs w:val="21"/>
        </w:rPr>
        <w:t>法定代表人：</w:t>
      </w:r>
      <w:r>
        <w:rPr>
          <w:rFonts w:ascii="Times New Roman" w:hAnsi="Times New Roman"/>
          <w:color w:val="000000"/>
          <w:szCs w:val="21"/>
          <w:u w:val="single"/>
        </w:rPr>
        <w:t xml:space="preserve">                               </w:t>
      </w:r>
      <w:r>
        <w:rPr>
          <w:rFonts w:hint="eastAsia" w:ascii="Times New Roman" w:hAnsi="Times New Roman"/>
          <w:color w:val="000000"/>
          <w:szCs w:val="21"/>
        </w:rPr>
        <w:t>（签字并盖章）</w:t>
      </w:r>
    </w:p>
    <w:p w14:paraId="4CB1158B">
      <w:pPr>
        <w:spacing w:line="300" w:lineRule="auto"/>
        <w:rPr>
          <w:rFonts w:ascii="Times New Roman" w:hAnsi="Times New Roman"/>
          <w:color w:val="000000"/>
          <w:szCs w:val="21"/>
        </w:rPr>
      </w:pPr>
    </w:p>
    <w:p w14:paraId="6DB906A4">
      <w:pPr>
        <w:spacing w:line="300" w:lineRule="auto"/>
        <w:rPr>
          <w:rFonts w:ascii="Times New Roman" w:hAnsi="Times New Roman"/>
          <w:color w:val="000000"/>
          <w:szCs w:val="21"/>
        </w:rPr>
      </w:pPr>
      <w:r>
        <w:rPr>
          <w:rFonts w:hint="eastAsia" w:ascii="Times New Roman" w:hAnsi="Times New Roman"/>
          <w:color w:val="000000"/>
          <w:szCs w:val="21"/>
        </w:rPr>
        <w:t>身份证号码：</w:t>
      </w:r>
      <w:r>
        <w:rPr>
          <w:rFonts w:ascii="Times New Roman" w:hAnsi="Times New Roman"/>
          <w:color w:val="000000"/>
          <w:szCs w:val="21"/>
          <w:u w:val="single"/>
        </w:rPr>
        <w:t xml:space="preserve">                                     </w:t>
      </w:r>
    </w:p>
    <w:p w14:paraId="3CF4B29B">
      <w:pPr>
        <w:spacing w:line="300" w:lineRule="auto"/>
        <w:rPr>
          <w:rFonts w:ascii="Times New Roman" w:hAnsi="Times New Roman"/>
          <w:color w:val="000000"/>
          <w:szCs w:val="21"/>
        </w:rPr>
      </w:pPr>
    </w:p>
    <w:p w14:paraId="7FB793BC">
      <w:pPr>
        <w:spacing w:line="300" w:lineRule="auto"/>
        <w:rPr>
          <w:rFonts w:ascii="Times New Roman" w:hAnsi="Times New Roman"/>
          <w:color w:val="000000"/>
          <w:szCs w:val="21"/>
        </w:rPr>
      </w:pPr>
      <w:r>
        <w:rPr>
          <w:rFonts w:hint="eastAsia" w:ascii="Times New Roman" w:hAnsi="Times New Roman"/>
          <w:color w:val="000000"/>
          <w:szCs w:val="21"/>
        </w:rPr>
        <w:t>委托代理人：</w:t>
      </w:r>
      <w:r>
        <w:rPr>
          <w:rFonts w:ascii="Times New Roman" w:hAnsi="Times New Roman"/>
          <w:color w:val="000000"/>
          <w:szCs w:val="21"/>
          <w:u w:val="single"/>
        </w:rPr>
        <w:t xml:space="preserve">                                   </w:t>
      </w:r>
      <w:r>
        <w:rPr>
          <w:rFonts w:hint="eastAsia" w:ascii="Times New Roman" w:hAnsi="Times New Roman"/>
          <w:color w:val="000000"/>
          <w:szCs w:val="21"/>
        </w:rPr>
        <w:t>（签字）</w:t>
      </w:r>
      <w:r>
        <w:rPr>
          <w:rFonts w:ascii="Times New Roman" w:hAnsi="Times New Roman"/>
          <w:color w:val="000000"/>
          <w:szCs w:val="21"/>
        </w:rPr>
        <w:t xml:space="preserve"> </w:t>
      </w:r>
    </w:p>
    <w:p w14:paraId="5FE56908">
      <w:pPr>
        <w:spacing w:line="300" w:lineRule="auto"/>
        <w:rPr>
          <w:rFonts w:ascii="Times New Roman" w:hAnsi="Times New Roman"/>
          <w:color w:val="000000"/>
          <w:szCs w:val="21"/>
        </w:rPr>
      </w:pPr>
    </w:p>
    <w:p w14:paraId="77D1492B">
      <w:pPr>
        <w:spacing w:line="300" w:lineRule="auto"/>
        <w:rPr>
          <w:rFonts w:ascii="Times New Roman" w:hAnsi="Times New Roman"/>
          <w:color w:val="000000"/>
          <w:szCs w:val="21"/>
        </w:rPr>
      </w:pPr>
      <w:r>
        <w:rPr>
          <w:rFonts w:hint="eastAsia" w:ascii="Times New Roman" w:hAnsi="Times New Roman"/>
          <w:color w:val="000000"/>
          <w:szCs w:val="21"/>
        </w:rPr>
        <w:t>身份证号码：</w:t>
      </w:r>
      <w:r>
        <w:rPr>
          <w:rFonts w:ascii="Times New Roman" w:hAnsi="Times New Roman"/>
          <w:color w:val="000000"/>
          <w:szCs w:val="21"/>
          <w:u w:val="single"/>
        </w:rPr>
        <w:t xml:space="preserve">                                      </w:t>
      </w:r>
    </w:p>
    <w:p w14:paraId="6F0232C6">
      <w:pPr>
        <w:spacing w:line="300" w:lineRule="auto"/>
        <w:rPr>
          <w:rFonts w:ascii="Times New Roman" w:hAnsi="Times New Roman"/>
          <w:color w:val="000000"/>
          <w:szCs w:val="21"/>
        </w:rPr>
      </w:pPr>
    </w:p>
    <w:p w14:paraId="7F870CBA">
      <w:pPr>
        <w:spacing w:line="300" w:lineRule="auto"/>
        <w:rPr>
          <w:rFonts w:ascii="Times New Roman" w:hAnsi="Times New Roman"/>
          <w:color w:val="000000"/>
          <w:szCs w:val="21"/>
        </w:rPr>
      </w:pPr>
    </w:p>
    <w:p w14:paraId="03B1E696">
      <w:pPr>
        <w:spacing w:line="300" w:lineRule="auto"/>
        <w:ind w:firstLine="2310" w:firstLineChars="1100"/>
        <w:rPr>
          <w:rFonts w:ascii="Times New Roman" w:hAnsi="Times New Roman" w:eastAsia="黑体"/>
          <w:color w:val="000000"/>
          <w:szCs w:val="21"/>
        </w:rPr>
      </w:pPr>
      <w:r>
        <w:rPr>
          <w:rFonts w:ascii="Times New Roman" w:hAnsi="Times New Roman"/>
          <w:color w:val="000000"/>
          <w:szCs w:val="21"/>
          <w:u w:val="single"/>
        </w:rPr>
        <w:t xml:space="preserve">       </w:t>
      </w:r>
      <w:r>
        <w:rPr>
          <w:rFonts w:hint="eastAsia" w:ascii="Times New Roman" w:hAnsi="Times New Roman"/>
          <w:color w:val="000000"/>
          <w:szCs w:val="21"/>
        </w:rPr>
        <w:t>年</w:t>
      </w:r>
      <w:r>
        <w:rPr>
          <w:rFonts w:ascii="Times New Roman" w:hAnsi="Times New Roman"/>
          <w:color w:val="000000"/>
          <w:szCs w:val="21"/>
          <w:u w:val="single"/>
        </w:rPr>
        <w:t xml:space="preserve">       </w:t>
      </w:r>
      <w:r>
        <w:rPr>
          <w:rFonts w:hint="eastAsia" w:ascii="Times New Roman" w:hAnsi="Times New Roman"/>
          <w:color w:val="000000"/>
          <w:szCs w:val="21"/>
        </w:rPr>
        <w:t>月</w:t>
      </w:r>
      <w:r>
        <w:rPr>
          <w:rFonts w:ascii="Times New Roman" w:hAnsi="Times New Roman"/>
          <w:color w:val="000000"/>
          <w:szCs w:val="21"/>
          <w:u w:val="single"/>
        </w:rPr>
        <w:t xml:space="preserve">       </w:t>
      </w:r>
      <w:r>
        <w:rPr>
          <w:rFonts w:hint="eastAsia" w:ascii="Times New Roman" w:hAnsi="Times New Roman"/>
          <w:color w:val="000000"/>
          <w:szCs w:val="21"/>
        </w:rPr>
        <w:t>日</w:t>
      </w:r>
    </w:p>
    <w:p w14:paraId="6FB7014F">
      <w:pPr>
        <w:spacing w:line="300" w:lineRule="auto"/>
        <w:ind w:left="482" w:hanging="422" w:hangingChars="200"/>
        <w:rPr>
          <w:rFonts w:ascii="Times New Roman" w:hAnsi="Times New Roman" w:eastAsia="方正楷体_GB2312"/>
          <w:b/>
          <w:color w:val="000000"/>
          <w:lang w:val="zh-CN"/>
        </w:rPr>
      </w:pPr>
    </w:p>
    <w:p w14:paraId="07815FE5">
      <w:pPr>
        <w:spacing w:line="300" w:lineRule="auto"/>
        <w:rPr>
          <w:rFonts w:ascii="Times New Roman" w:hAnsi="Times New Roman" w:eastAsia="黑体"/>
          <w:color w:val="000000"/>
          <w:sz w:val="20"/>
        </w:rPr>
      </w:pPr>
    </w:p>
    <w:p w14:paraId="24B414DA">
      <w:pPr>
        <w:spacing w:line="300" w:lineRule="auto"/>
        <w:jc w:val="center"/>
        <w:rPr>
          <w:rFonts w:hint="eastAsia" w:ascii="Times New Roman" w:hAnsi="Times New Roman" w:eastAsia="黑体" w:cs="Times New Roman"/>
          <w:b w:val="0"/>
          <w:bCs w:val="0"/>
          <w:color w:val="000000"/>
          <w:sz w:val="32"/>
          <w:szCs w:val="32"/>
          <w:lang w:val="en-US" w:eastAsia="zh-CN" w:bidi="ar-SA"/>
        </w:rPr>
      </w:pPr>
    </w:p>
    <w:p w14:paraId="0A43CED4">
      <w:pPr>
        <w:widowControl/>
        <w:spacing w:line="440" w:lineRule="exact"/>
        <w:jc w:val="left"/>
        <w:rPr>
          <w:rFonts w:hint="eastAsia" w:ascii="宋体" w:hAnsi="宋体" w:eastAsia="宋体" w:cs="宋体"/>
          <w:kern w:val="0"/>
          <w:sz w:val="24"/>
          <w:szCs w:val="24"/>
        </w:rPr>
      </w:pPr>
    </w:p>
    <w:p w14:paraId="12319B17">
      <w:pPr>
        <w:pStyle w:val="32"/>
        <w:rPr>
          <w:rFonts w:hint="eastAsia" w:ascii="宋体" w:hAnsi="宋体" w:eastAsia="宋体" w:cs="宋体"/>
          <w:b w:val="0"/>
          <w:bCs w:val="0"/>
          <w:sz w:val="24"/>
          <w:szCs w:val="24"/>
          <w:lang w:val="en-US" w:eastAsia="zh-CN" w:bidi="ar-SA"/>
        </w:rPr>
      </w:pPr>
      <w:bookmarkStart w:id="196" w:name="_Toc508871757"/>
      <w:bookmarkStart w:id="197" w:name="_Toc506105877"/>
      <w:bookmarkStart w:id="198" w:name="_Toc391556617"/>
      <w:bookmarkStart w:id="199" w:name="_Toc352160852"/>
    </w:p>
    <w:p w14:paraId="0920A3D1">
      <w:pPr>
        <w:pStyle w:val="32"/>
        <w:rPr>
          <w:rFonts w:hint="eastAsia" w:ascii="宋体" w:hAnsi="宋体" w:eastAsia="宋体" w:cs="宋体"/>
          <w:b w:val="0"/>
          <w:bCs w:val="0"/>
          <w:sz w:val="24"/>
          <w:szCs w:val="24"/>
          <w:lang w:val="en-US" w:eastAsia="zh-CN" w:bidi="ar-SA"/>
        </w:rPr>
      </w:pPr>
    </w:p>
    <w:p w14:paraId="64EA20D4">
      <w:pPr>
        <w:pStyle w:val="32"/>
        <w:rPr>
          <w:rFonts w:hint="eastAsia" w:ascii="宋体" w:hAnsi="宋体" w:eastAsia="宋体" w:cs="宋体"/>
          <w:b w:val="0"/>
          <w:bCs w:val="0"/>
          <w:sz w:val="24"/>
          <w:szCs w:val="24"/>
          <w:lang w:val="en-US" w:eastAsia="zh-CN" w:bidi="ar-SA"/>
        </w:rPr>
      </w:pPr>
    </w:p>
    <w:p w14:paraId="2D7230C1">
      <w:pPr>
        <w:pStyle w:val="32"/>
        <w:ind w:left="0" w:leftChars="0" w:firstLine="0" w:firstLineChars="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4、资格审查资料</w:t>
      </w:r>
      <w:bookmarkEnd w:id="196"/>
      <w:bookmarkEnd w:id="197"/>
      <w:bookmarkEnd w:id="198"/>
      <w:bookmarkEnd w:id="199"/>
    </w:p>
    <w:p w14:paraId="029BD58D">
      <w:pPr>
        <w:spacing w:line="360" w:lineRule="auto"/>
        <w:rPr>
          <w:rFonts w:ascii="宋体" w:hAnsi="宋体" w:cs="仿宋"/>
          <w:b w:val="0"/>
          <w:bCs/>
          <w:sz w:val="24"/>
        </w:rPr>
      </w:pPr>
      <w:bookmarkStart w:id="200" w:name="_Toc337496474"/>
      <w:r>
        <w:rPr>
          <w:rFonts w:hint="eastAsia" w:cs="仿宋"/>
          <w:b w:val="0"/>
          <w:bCs/>
          <w:sz w:val="24"/>
          <w:lang w:val="en-US" w:eastAsia="zh-CN"/>
        </w:rPr>
        <w:t>4</w:t>
      </w:r>
      <w:r>
        <w:rPr>
          <w:rFonts w:hint="eastAsia" w:ascii="宋体" w:hAnsi="宋体" w:cs="仿宋"/>
          <w:b w:val="0"/>
          <w:bCs/>
          <w:sz w:val="24"/>
        </w:rPr>
        <w:t>.1</w:t>
      </w:r>
      <w:bookmarkEnd w:id="200"/>
      <w:r>
        <w:rPr>
          <w:rFonts w:hint="eastAsia" w:cs="仿宋"/>
          <w:b w:val="0"/>
          <w:bCs/>
          <w:sz w:val="24"/>
          <w:lang w:val="en-US" w:eastAsia="zh-CN"/>
        </w:rPr>
        <w:t>供应商</w:t>
      </w:r>
      <w:r>
        <w:rPr>
          <w:rFonts w:hint="eastAsia" w:ascii="宋体" w:hAnsi="宋体" w:cs="仿宋"/>
          <w:b w:val="0"/>
          <w:bCs/>
          <w:sz w:val="24"/>
        </w:rPr>
        <w:t>基本情况及证书复印件</w:t>
      </w:r>
    </w:p>
    <w:p w14:paraId="0DB0EEBD">
      <w:pPr>
        <w:spacing w:line="360" w:lineRule="auto"/>
        <w:jc w:val="center"/>
        <w:rPr>
          <w:rFonts w:ascii="宋体" w:hAnsi="宋体" w:cs="仿宋"/>
          <w:sz w:val="24"/>
        </w:rPr>
      </w:pPr>
      <w:r>
        <w:rPr>
          <w:rFonts w:hint="eastAsia" w:ascii="宋体" w:hAnsi="宋体" w:cs="仿宋"/>
          <w:b/>
          <w:sz w:val="24"/>
        </w:rPr>
        <w:t>基本情况</w:t>
      </w:r>
    </w:p>
    <w:tbl>
      <w:tblPr>
        <w:tblStyle w:val="13"/>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430"/>
        <w:gridCol w:w="1322"/>
        <w:gridCol w:w="1147"/>
        <w:gridCol w:w="2340"/>
      </w:tblGrid>
      <w:tr w14:paraId="1521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6297683">
            <w:pPr>
              <w:topLinePunct/>
              <w:spacing w:line="360" w:lineRule="auto"/>
              <w:jc w:val="center"/>
              <w:rPr>
                <w:rFonts w:ascii="宋体" w:hAnsi="宋体" w:cs="仿宋"/>
              </w:rPr>
            </w:pPr>
            <w:r>
              <w:rPr>
                <w:rFonts w:hint="eastAsia" w:cs="仿宋"/>
                <w:lang w:val="en-US" w:eastAsia="zh-CN"/>
              </w:rPr>
              <w:t>供应商</w:t>
            </w:r>
            <w:r>
              <w:rPr>
                <w:rFonts w:hint="eastAsia" w:ascii="宋体" w:hAnsi="宋体" w:cs="仿宋"/>
              </w:rPr>
              <w:t>名称</w:t>
            </w:r>
          </w:p>
        </w:tc>
        <w:tc>
          <w:tcPr>
            <w:tcW w:w="7656" w:type="dxa"/>
            <w:gridSpan w:val="5"/>
            <w:tcBorders>
              <w:top w:val="single" w:color="000000" w:sz="4" w:space="0"/>
              <w:left w:val="single" w:color="000000" w:sz="4" w:space="0"/>
              <w:bottom w:val="single" w:color="000000" w:sz="4" w:space="0"/>
              <w:right w:val="single" w:color="000000" w:sz="4" w:space="0"/>
            </w:tcBorders>
            <w:noWrap w:val="0"/>
            <w:vAlign w:val="center"/>
          </w:tcPr>
          <w:p w14:paraId="3D74A542">
            <w:pPr>
              <w:topLinePunct/>
              <w:spacing w:line="360" w:lineRule="auto"/>
              <w:jc w:val="center"/>
              <w:rPr>
                <w:rFonts w:ascii="宋体" w:hAnsi="宋体" w:cs="仿宋"/>
              </w:rPr>
            </w:pPr>
          </w:p>
        </w:tc>
      </w:tr>
      <w:tr w14:paraId="3769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C7004B0">
            <w:pPr>
              <w:topLinePunct/>
              <w:spacing w:line="360" w:lineRule="auto"/>
              <w:ind w:left="-105" w:leftChars="-50" w:right="-105" w:rightChars="-50"/>
              <w:jc w:val="center"/>
              <w:rPr>
                <w:rFonts w:ascii="宋体" w:hAnsi="宋体" w:cs="仿宋"/>
              </w:rPr>
            </w:pPr>
            <w:r>
              <w:rPr>
                <w:rFonts w:hint="eastAsia" w:ascii="宋体" w:hAnsi="宋体" w:cs="仿宋"/>
              </w:rPr>
              <w:t>制造商</w:t>
            </w:r>
          </w:p>
        </w:tc>
        <w:tc>
          <w:tcPr>
            <w:tcW w:w="2847" w:type="dxa"/>
            <w:gridSpan w:val="2"/>
            <w:tcBorders>
              <w:top w:val="single" w:color="000000" w:sz="4" w:space="0"/>
              <w:left w:val="single" w:color="000000" w:sz="4" w:space="0"/>
              <w:bottom w:val="single" w:color="000000" w:sz="4" w:space="0"/>
              <w:right w:val="single" w:color="000000" w:sz="4" w:space="0"/>
            </w:tcBorders>
            <w:noWrap w:val="0"/>
            <w:vAlign w:val="center"/>
          </w:tcPr>
          <w:p w14:paraId="50C684D9">
            <w:pPr>
              <w:topLinePunct/>
              <w:spacing w:line="360" w:lineRule="auto"/>
              <w:jc w:val="center"/>
              <w:rPr>
                <w:rFonts w:ascii="宋体" w:hAnsi="宋体" w:cs="仿宋"/>
                <w:b/>
                <w:bCs/>
                <w:kern w:val="44"/>
                <w:sz w:val="32"/>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B534575">
            <w:pPr>
              <w:topLinePunct/>
              <w:spacing w:line="360" w:lineRule="auto"/>
              <w:jc w:val="center"/>
              <w:rPr>
                <w:rFonts w:ascii="宋体" w:hAnsi="宋体" w:cs="仿宋"/>
              </w:rPr>
            </w:pPr>
            <w:r>
              <w:rPr>
                <w:rFonts w:hint="eastAsia" w:ascii="宋体" w:hAnsi="宋体" w:cs="仿宋"/>
              </w:rPr>
              <w:t>所属集团</w:t>
            </w:r>
          </w:p>
        </w:tc>
        <w:tc>
          <w:tcPr>
            <w:tcW w:w="3487" w:type="dxa"/>
            <w:gridSpan w:val="2"/>
            <w:tcBorders>
              <w:top w:val="single" w:color="000000" w:sz="4" w:space="0"/>
              <w:left w:val="single" w:color="000000" w:sz="4" w:space="0"/>
              <w:bottom w:val="single" w:color="000000" w:sz="4" w:space="0"/>
              <w:right w:val="single" w:color="000000" w:sz="4" w:space="0"/>
            </w:tcBorders>
            <w:noWrap w:val="0"/>
            <w:vAlign w:val="center"/>
          </w:tcPr>
          <w:p w14:paraId="2080BFF4">
            <w:pPr>
              <w:topLinePunct/>
              <w:spacing w:line="360" w:lineRule="auto"/>
              <w:jc w:val="center"/>
              <w:rPr>
                <w:rFonts w:ascii="宋体" w:hAnsi="宋体" w:cs="仿宋"/>
              </w:rPr>
            </w:pPr>
          </w:p>
        </w:tc>
      </w:tr>
      <w:tr w14:paraId="0C8A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DC806B2">
            <w:pPr>
              <w:topLinePunct/>
              <w:spacing w:line="360" w:lineRule="auto"/>
              <w:jc w:val="center"/>
              <w:rPr>
                <w:rFonts w:ascii="宋体" w:hAnsi="宋体" w:cs="仿宋"/>
              </w:rPr>
            </w:pPr>
            <w:r>
              <w:rPr>
                <w:rFonts w:hint="eastAsia" w:ascii="宋体" w:hAnsi="宋体" w:cs="仿宋"/>
              </w:rPr>
              <w:t>注册地址</w:t>
            </w:r>
          </w:p>
        </w:tc>
        <w:tc>
          <w:tcPr>
            <w:tcW w:w="4169" w:type="dxa"/>
            <w:gridSpan w:val="3"/>
            <w:tcBorders>
              <w:top w:val="single" w:color="000000" w:sz="4" w:space="0"/>
              <w:left w:val="single" w:color="000000" w:sz="4" w:space="0"/>
              <w:bottom w:val="single" w:color="000000" w:sz="4" w:space="0"/>
              <w:right w:val="single" w:color="000000" w:sz="4" w:space="0"/>
            </w:tcBorders>
            <w:noWrap w:val="0"/>
            <w:vAlign w:val="center"/>
          </w:tcPr>
          <w:p w14:paraId="396EFA09">
            <w:pPr>
              <w:topLinePunct/>
              <w:spacing w:line="360" w:lineRule="auto"/>
              <w:jc w:val="center"/>
              <w:rPr>
                <w:rFonts w:ascii="宋体" w:hAnsi="宋体"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A60553E">
            <w:pPr>
              <w:topLinePunct/>
              <w:spacing w:line="360" w:lineRule="auto"/>
              <w:ind w:left="-105" w:leftChars="-50" w:right="-105" w:rightChars="-50"/>
              <w:jc w:val="center"/>
              <w:rPr>
                <w:rFonts w:ascii="宋体" w:hAnsi="宋体" w:cs="仿宋"/>
              </w:rPr>
            </w:pPr>
            <w:r>
              <w:rPr>
                <w:rFonts w:hint="eastAsia" w:ascii="宋体" w:hAnsi="宋体" w:cs="仿宋"/>
              </w:rPr>
              <w:t>邮政编码</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4199468D">
            <w:pPr>
              <w:topLinePunct/>
              <w:spacing w:line="360" w:lineRule="auto"/>
              <w:jc w:val="center"/>
              <w:rPr>
                <w:rFonts w:ascii="宋体" w:hAnsi="宋体" w:cs="仿宋"/>
              </w:rPr>
            </w:pPr>
          </w:p>
        </w:tc>
      </w:tr>
      <w:tr w14:paraId="3E64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E2C1782">
            <w:pPr>
              <w:topLinePunct/>
              <w:adjustRightInd w:val="0"/>
              <w:snapToGrid w:val="0"/>
              <w:spacing w:line="360" w:lineRule="auto"/>
              <w:jc w:val="center"/>
              <w:rPr>
                <w:rFonts w:ascii="宋体" w:hAnsi="宋体" w:cs="仿宋"/>
              </w:rPr>
            </w:pPr>
            <w:r>
              <w:rPr>
                <w:rFonts w:hint="eastAsia" w:ascii="宋体" w:hAnsi="宋体" w:cs="仿宋"/>
              </w:rPr>
              <w:t>成立或</w:t>
            </w:r>
          </w:p>
          <w:p w14:paraId="4A423858">
            <w:pPr>
              <w:topLinePunct/>
              <w:adjustRightInd w:val="0"/>
              <w:snapToGrid w:val="0"/>
              <w:spacing w:line="360" w:lineRule="auto"/>
              <w:jc w:val="center"/>
              <w:rPr>
                <w:rFonts w:ascii="宋体" w:hAnsi="宋体" w:cs="仿宋"/>
              </w:rPr>
            </w:pPr>
            <w:r>
              <w:rPr>
                <w:rFonts w:hint="eastAsia" w:ascii="宋体" w:hAnsi="宋体" w:cs="仿宋"/>
              </w:rPr>
              <w:t>注册时间</w:t>
            </w:r>
          </w:p>
        </w:tc>
        <w:tc>
          <w:tcPr>
            <w:tcW w:w="4169" w:type="dxa"/>
            <w:gridSpan w:val="3"/>
            <w:tcBorders>
              <w:top w:val="single" w:color="000000" w:sz="4" w:space="0"/>
              <w:left w:val="single" w:color="000000" w:sz="4" w:space="0"/>
              <w:bottom w:val="single" w:color="000000" w:sz="4" w:space="0"/>
              <w:right w:val="single" w:color="000000" w:sz="4" w:space="0"/>
            </w:tcBorders>
            <w:noWrap w:val="0"/>
            <w:vAlign w:val="center"/>
          </w:tcPr>
          <w:p w14:paraId="31D36833">
            <w:pPr>
              <w:topLinePunct/>
              <w:spacing w:line="360" w:lineRule="auto"/>
              <w:jc w:val="center"/>
              <w:rPr>
                <w:rFonts w:ascii="宋体" w:hAnsi="宋体"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FEA3252">
            <w:pPr>
              <w:topLinePunct/>
              <w:spacing w:line="360" w:lineRule="auto"/>
              <w:ind w:left="-105" w:leftChars="-50" w:right="-105" w:rightChars="-50"/>
              <w:jc w:val="center"/>
              <w:rPr>
                <w:rFonts w:ascii="宋体" w:hAnsi="宋体" w:cs="仿宋"/>
              </w:rPr>
            </w:pPr>
            <w:r>
              <w:rPr>
                <w:rFonts w:hint="eastAsia" w:ascii="宋体" w:hAnsi="宋体" w:cs="仿宋"/>
              </w:rPr>
              <w:t>注册资金</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577E2D0B">
            <w:pPr>
              <w:topLinePunct/>
              <w:spacing w:line="360" w:lineRule="auto"/>
              <w:jc w:val="center"/>
              <w:rPr>
                <w:rFonts w:ascii="宋体" w:hAnsi="宋体" w:cs="仿宋"/>
              </w:rPr>
            </w:pPr>
          </w:p>
        </w:tc>
      </w:tr>
      <w:tr w14:paraId="3AB0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8CD2A33">
            <w:pPr>
              <w:topLinePunct/>
              <w:spacing w:line="360" w:lineRule="auto"/>
              <w:jc w:val="center"/>
              <w:rPr>
                <w:rFonts w:ascii="宋体" w:hAnsi="宋体" w:cs="仿宋"/>
              </w:rPr>
            </w:pPr>
            <w:r>
              <w:rPr>
                <w:rFonts w:hint="eastAsia" w:ascii="宋体" w:hAnsi="宋体" w:cs="仿宋"/>
              </w:rPr>
              <w:t>主要负责人</w:t>
            </w:r>
          </w:p>
        </w:tc>
        <w:tc>
          <w:tcPr>
            <w:tcW w:w="4169" w:type="dxa"/>
            <w:gridSpan w:val="3"/>
            <w:tcBorders>
              <w:top w:val="single" w:color="000000" w:sz="4" w:space="0"/>
              <w:left w:val="single" w:color="000000" w:sz="4" w:space="0"/>
              <w:bottom w:val="single" w:color="000000" w:sz="4" w:space="0"/>
              <w:right w:val="single" w:color="000000" w:sz="4" w:space="0"/>
            </w:tcBorders>
            <w:noWrap w:val="0"/>
            <w:vAlign w:val="center"/>
          </w:tcPr>
          <w:p w14:paraId="58FA4A99">
            <w:pPr>
              <w:topLinePunct/>
              <w:spacing w:line="360" w:lineRule="auto"/>
              <w:jc w:val="center"/>
              <w:rPr>
                <w:rFonts w:ascii="宋体" w:hAnsi="宋体"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280873E">
            <w:pPr>
              <w:topLinePunct/>
              <w:spacing w:line="360" w:lineRule="auto"/>
              <w:ind w:left="-105" w:leftChars="-50" w:right="-105" w:rightChars="-50"/>
              <w:jc w:val="center"/>
              <w:rPr>
                <w:rFonts w:ascii="宋体" w:hAnsi="宋体" w:cs="仿宋"/>
              </w:rPr>
            </w:pPr>
            <w:r>
              <w:rPr>
                <w:rFonts w:hint="eastAsia" w:ascii="宋体" w:hAnsi="宋体" w:cs="仿宋"/>
              </w:rPr>
              <w:t>电话</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7B5E607B">
            <w:pPr>
              <w:topLinePunct/>
              <w:spacing w:line="360" w:lineRule="auto"/>
              <w:jc w:val="center"/>
              <w:rPr>
                <w:rFonts w:ascii="宋体" w:hAnsi="宋体" w:cs="仿宋"/>
              </w:rPr>
            </w:pPr>
          </w:p>
        </w:tc>
      </w:tr>
      <w:tr w14:paraId="6A43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5EDD8B">
            <w:pPr>
              <w:topLinePunct/>
              <w:spacing w:line="360" w:lineRule="auto"/>
              <w:jc w:val="center"/>
              <w:rPr>
                <w:rFonts w:hint="default" w:ascii="宋体" w:hAnsi="宋体" w:cs="仿宋" w:eastAsiaTheme="minorEastAsia"/>
                <w:lang w:val="en-US" w:eastAsia="zh-CN"/>
              </w:rPr>
            </w:pPr>
            <w:r>
              <w:rPr>
                <w:rFonts w:hint="eastAsia" w:ascii="宋体" w:hAnsi="宋体" w:cs="仿宋"/>
                <w:lang w:val="en-US" w:eastAsia="zh-CN"/>
              </w:rPr>
              <w:t>企业基本情况</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9DAB780">
            <w:pPr>
              <w:topLinePunct/>
              <w:spacing w:line="360" w:lineRule="auto"/>
              <w:jc w:val="center"/>
              <w:rPr>
                <w:rFonts w:ascii="宋体" w:hAnsi="宋体" w:cs="仿宋"/>
              </w:rPr>
            </w:pPr>
            <w:r>
              <w:rPr>
                <w:rFonts w:hint="eastAsia" w:ascii="宋体" w:hAnsi="宋体" w:cs="仿宋"/>
              </w:rPr>
              <w:t>联系人</w:t>
            </w:r>
          </w:p>
        </w:tc>
        <w:tc>
          <w:tcPr>
            <w:tcW w:w="2752" w:type="dxa"/>
            <w:gridSpan w:val="2"/>
            <w:tcBorders>
              <w:top w:val="single" w:color="000000" w:sz="4" w:space="0"/>
              <w:left w:val="single" w:color="000000" w:sz="4" w:space="0"/>
              <w:bottom w:val="single" w:color="000000" w:sz="4" w:space="0"/>
              <w:right w:val="single" w:color="000000" w:sz="4" w:space="0"/>
            </w:tcBorders>
            <w:noWrap w:val="0"/>
            <w:vAlign w:val="center"/>
          </w:tcPr>
          <w:p w14:paraId="05AF788D">
            <w:pPr>
              <w:topLinePunct/>
              <w:spacing w:line="360" w:lineRule="auto"/>
              <w:jc w:val="center"/>
              <w:rPr>
                <w:rFonts w:ascii="宋体" w:hAnsi="宋体"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90EDECB">
            <w:pPr>
              <w:topLinePunct/>
              <w:spacing w:line="360" w:lineRule="auto"/>
              <w:ind w:left="-105" w:leftChars="-50" w:right="-105" w:rightChars="-50"/>
              <w:jc w:val="center"/>
              <w:rPr>
                <w:rFonts w:ascii="宋体" w:hAnsi="宋体" w:cs="仿宋"/>
              </w:rPr>
            </w:pPr>
            <w:r>
              <w:rPr>
                <w:rFonts w:hint="eastAsia" w:ascii="宋体" w:hAnsi="宋体" w:cs="仿宋"/>
              </w:rPr>
              <w:t>电话</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EC039D3">
            <w:pPr>
              <w:topLinePunct/>
              <w:spacing w:line="360" w:lineRule="auto"/>
              <w:jc w:val="center"/>
              <w:rPr>
                <w:rFonts w:ascii="宋体" w:hAnsi="宋体" w:cs="仿宋"/>
              </w:rPr>
            </w:pPr>
          </w:p>
        </w:tc>
      </w:tr>
      <w:tr w14:paraId="012A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ABE08">
            <w:pPr>
              <w:widowControl/>
              <w:spacing w:line="360" w:lineRule="auto"/>
              <w:jc w:val="left"/>
              <w:rPr>
                <w:rFonts w:ascii="宋体" w:hAnsi="宋体" w:cs="仿宋"/>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A2F1222">
            <w:pPr>
              <w:topLinePunct/>
              <w:spacing w:line="360" w:lineRule="auto"/>
              <w:jc w:val="center"/>
              <w:rPr>
                <w:rFonts w:ascii="宋体" w:hAnsi="宋体" w:cs="仿宋"/>
              </w:rPr>
            </w:pPr>
            <w:r>
              <w:rPr>
                <w:rFonts w:hint="eastAsia" w:ascii="宋体" w:hAnsi="宋体" w:cs="仿宋"/>
              </w:rPr>
              <w:t>传  真</w:t>
            </w:r>
          </w:p>
        </w:tc>
        <w:tc>
          <w:tcPr>
            <w:tcW w:w="2752" w:type="dxa"/>
            <w:gridSpan w:val="2"/>
            <w:tcBorders>
              <w:top w:val="single" w:color="000000" w:sz="4" w:space="0"/>
              <w:left w:val="single" w:color="000000" w:sz="4" w:space="0"/>
              <w:bottom w:val="single" w:color="000000" w:sz="4" w:space="0"/>
              <w:right w:val="single" w:color="000000" w:sz="4" w:space="0"/>
            </w:tcBorders>
            <w:noWrap w:val="0"/>
            <w:vAlign w:val="center"/>
          </w:tcPr>
          <w:p w14:paraId="7EA15C22">
            <w:pPr>
              <w:topLinePunct/>
              <w:spacing w:line="360" w:lineRule="auto"/>
              <w:jc w:val="center"/>
              <w:rPr>
                <w:rFonts w:ascii="宋体" w:hAnsi="宋体"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6B9D918">
            <w:pPr>
              <w:topLinePunct/>
              <w:spacing w:line="360" w:lineRule="auto"/>
              <w:ind w:left="-105" w:leftChars="-50" w:right="-105" w:rightChars="-50"/>
              <w:jc w:val="center"/>
              <w:rPr>
                <w:rFonts w:ascii="宋体" w:hAnsi="宋体" w:cs="仿宋"/>
              </w:rPr>
            </w:pPr>
            <w:r>
              <w:rPr>
                <w:rFonts w:hint="eastAsia" w:ascii="宋体" w:hAnsi="宋体" w:cs="仿宋"/>
              </w:rPr>
              <w:t>电子邮箱</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03F4BC9">
            <w:pPr>
              <w:topLinePunct/>
              <w:spacing w:line="360" w:lineRule="auto"/>
              <w:jc w:val="center"/>
              <w:rPr>
                <w:rFonts w:ascii="宋体" w:hAnsi="宋体" w:cs="仿宋"/>
              </w:rPr>
            </w:pPr>
          </w:p>
        </w:tc>
      </w:tr>
      <w:tr w14:paraId="1B04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9D25B">
            <w:pPr>
              <w:widowControl/>
              <w:spacing w:line="360" w:lineRule="auto"/>
              <w:jc w:val="left"/>
              <w:rPr>
                <w:rFonts w:ascii="宋体" w:hAnsi="宋体" w:cs="仿宋"/>
                <w:sz w:val="24"/>
              </w:rPr>
            </w:pPr>
          </w:p>
        </w:tc>
        <w:tc>
          <w:tcPr>
            <w:tcW w:w="7656" w:type="dxa"/>
            <w:gridSpan w:val="5"/>
            <w:tcBorders>
              <w:top w:val="single" w:color="000000" w:sz="4" w:space="0"/>
              <w:left w:val="single" w:color="000000" w:sz="4" w:space="0"/>
              <w:bottom w:val="single" w:color="000000" w:sz="4" w:space="0"/>
              <w:right w:val="single" w:color="000000" w:sz="4" w:space="0"/>
            </w:tcBorders>
            <w:noWrap w:val="0"/>
            <w:vAlign w:val="center"/>
          </w:tcPr>
          <w:p w14:paraId="2AE7A39B">
            <w:pPr>
              <w:topLinePunct/>
              <w:spacing w:line="360" w:lineRule="auto"/>
              <w:jc w:val="left"/>
              <w:rPr>
                <w:rFonts w:ascii="宋体" w:hAnsi="宋体" w:cs="仿宋"/>
              </w:rPr>
            </w:pPr>
            <w:r>
              <w:rPr>
                <w:rFonts w:hint="eastAsia" w:ascii="宋体" w:hAnsi="宋体" w:cs="仿宋"/>
              </w:rPr>
              <w:t>经营范围：</w:t>
            </w:r>
          </w:p>
        </w:tc>
      </w:tr>
    </w:tbl>
    <w:p w14:paraId="3A1E4814">
      <w:pPr>
        <w:topLinePunct/>
        <w:spacing w:line="360" w:lineRule="auto"/>
        <w:ind w:firstLine="480" w:firstLineChars="200"/>
        <w:jc w:val="left"/>
        <w:rPr>
          <w:rFonts w:ascii="宋体" w:hAnsi="宋体" w:cs="仿宋"/>
          <w:sz w:val="24"/>
        </w:rPr>
      </w:pPr>
      <w:r>
        <w:rPr>
          <w:rFonts w:hint="eastAsia" w:ascii="宋体" w:hAnsi="宋体" w:cs="仿宋"/>
          <w:sz w:val="24"/>
        </w:rPr>
        <w:t>注：本表可增加并扩展。</w:t>
      </w:r>
    </w:p>
    <w:p w14:paraId="763E9091">
      <w:pPr>
        <w:topLinePunct/>
        <w:spacing w:line="360" w:lineRule="auto"/>
        <w:ind w:firstLine="480" w:firstLineChars="200"/>
        <w:jc w:val="left"/>
        <w:rPr>
          <w:rFonts w:ascii="宋体" w:hAnsi="宋体" w:cs="仿宋"/>
          <w:sz w:val="24"/>
        </w:rPr>
      </w:pPr>
      <w:r>
        <w:rPr>
          <w:rFonts w:hint="eastAsia" w:ascii="宋体" w:hAnsi="宋体" w:cs="仿宋"/>
          <w:sz w:val="24"/>
        </w:rPr>
        <w:t>附：</w:t>
      </w:r>
      <w:r>
        <w:rPr>
          <w:rFonts w:hint="eastAsia" w:ascii="宋体" w:hAnsi="宋体" w:cs="宋体"/>
          <w:sz w:val="24"/>
        </w:rPr>
        <w:t>包括但不限于：营业执照、资质证书、体系认证、资信等级、</w:t>
      </w:r>
      <w:r>
        <w:rPr>
          <w:rFonts w:hint="eastAsia" w:cs="宋体"/>
          <w:sz w:val="24"/>
          <w:lang w:val="en-US" w:eastAsia="zh-CN"/>
        </w:rPr>
        <w:t>人员资格证书、业绩</w:t>
      </w:r>
      <w:r>
        <w:rPr>
          <w:rFonts w:hint="eastAsia" w:ascii="宋体" w:hAnsi="宋体" w:cs="宋体"/>
          <w:sz w:val="24"/>
        </w:rPr>
        <w:t>合同、获奖证书等</w:t>
      </w:r>
      <w:r>
        <w:rPr>
          <w:rFonts w:hint="eastAsia" w:cs="宋体"/>
          <w:sz w:val="24"/>
          <w:lang w:val="en-US" w:eastAsia="zh-CN"/>
        </w:rPr>
        <w:t>的复印件，加盖公章</w:t>
      </w:r>
      <w:r>
        <w:rPr>
          <w:rFonts w:hint="eastAsia" w:ascii="宋体" w:hAnsi="宋体" w:cs="宋体"/>
          <w:sz w:val="24"/>
        </w:rPr>
        <w:t>。</w:t>
      </w:r>
    </w:p>
    <w:p w14:paraId="304E56A1">
      <w:pPr>
        <w:spacing w:line="360" w:lineRule="auto"/>
        <w:rPr>
          <w:rStyle w:val="19"/>
          <w:rFonts w:ascii="宋体" w:hAnsi="宋体" w:cs="仿宋"/>
          <w:b w:val="0"/>
          <w:bCs/>
        </w:rPr>
      </w:pPr>
      <w:bookmarkStart w:id="201" w:name="_Toc426317296"/>
      <w:r>
        <w:rPr>
          <w:rFonts w:hint="eastAsia" w:cs="仿宋"/>
          <w:b w:val="0"/>
          <w:bCs/>
          <w:sz w:val="24"/>
          <w:lang w:val="en-US" w:eastAsia="zh-CN"/>
        </w:rPr>
        <w:t>4</w:t>
      </w:r>
      <w:r>
        <w:rPr>
          <w:rFonts w:hint="eastAsia" w:ascii="宋体" w:hAnsi="宋体" w:cs="仿宋"/>
          <w:b w:val="0"/>
          <w:bCs/>
          <w:sz w:val="24"/>
        </w:rPr>
        <w:t>.2符合资格条件的业绩汇总表</w:t>
      </w:r>
      <w:bookmarkEnd w:id="201"/>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2036"/>
        <w:gridCol w:w="3053"/>
        <w:gridCol w:w="1276"/>
        <w:gridCol w:w="1701"/>
      </w:tblGrid>
      <w:tr w14:paraId="615CD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831" w:type="dxa"/>
            <w:noWrap w:val="0"/>
            <w:vAlign w:val="center"/>
          </w:tcPr>
          <w:p w14:paraId="1EBAE39D">
            <w:pPr>
              <w:spacing w:line="360" w:lineRule="auto"/>
              <w:jc w:val="center"/>
              <w:rPr>
                <w:rFonts w:ascii="宋体" w:hAnsi="宋体" w:cs="仿宋"/>
                <w:sz w:val="24"/>
              </w:rPr>
            </w:pPr>
            <w:r>
              <w:rPr>
                <w:rFonts w:hint="eastAsia" w:ascii="宋体" w:hAnsi="宋体" w:cs="仿宋"/>
                <w:sz w:val="24"/>
              </w:rPr>
              <w:t>序号</w:t>
            </w:r>
          </w:p>
        </w:tc>
        <w:tc>
          <w:tcPr>
            <w:tcW w:w="2036" w:type="dxa"/>
            <w:noWrap w:val="0"/>
            <w:vAlign w:val="center"/>
          </w:tcPr>
          <w:p w14:paraId="62A02BA5">
            <w:pPr>
              <w:spacing w:line="360" w:lineRule="auto"/>
              <w:jc w:val="center"/>
              <w:rPr>
                <w:rFonts w:ascii="宋体" w:hAnsi="宋体" w:cs="仿宋"/>
                <w:sz w:val="24"/>
              </w:rPr>
            </w:pPr>
            <w:bookmarkStart w:id="202" w:name="_Toc351401531"/>
            <w:bookmarkStart w:id="203" w:name="_Toc351401530"/>
            <w:r>
              <w:rPr>
                <w:rFonts w:hint="eastAsia" w:ascii="宋体" w:hAnsi="宋体" w:cs="仿宋"/>
                <w:sz w:val="24"/>
              </w:rPr>
              <w:t>项目业主</w:t>
            </w:r>
            <w:bookmarkEnd w:id="202"/>
            <w:r>
              <w:rPr>
                <w:rFonts w:hint="eastAsia" w:ascii="宋体" w:hAnsi="宋体" w:cs="仿宋"/>
                <w:sz w:val="24"/>
              </w:rPr>
              <w:t>名称</w:t>
            </w:r>
            <w:bookmarkEnd w:id="203"/>
          </w:p>
        </w:tc>
        <w:tc>
          <w:tcPr>
            <w:tcW w:w="3053" w:type="dxa"/>
            <w:noWrap w:val="0"/>
            <w:vAlign w:val="center"/>
          </w:tcPr>
          <w:p w14:paraId="300A8695">
            <w:pPr>
              <w:spacing w:line="360" w:lineRule="auto"/>
              <w:jc w:val="center"/>
              <w:rPr>
                <w:rFonts w:ascii="宋体" w:hAnsi="宋体" w:cs="仿宋"/>
                <w:sz w:val="24"/>
              </w:rPr>
            </w:pPr>
            <w:r>
              <w:rPr>
                <w:rFonts w:hint="eastAsia" w:ascii="宋体" w:hAnsi="宋体" w:cs="仿宋"/>
                <w:sz w:val="24"/>
              </w:rPr>
              <w:t>规格型号</w:t>
            </w:r>
          </w:p>
        </w:tc>
        <w:tc>
          <w:tcPr>
            <w:tcW w:w="1276" w:type="dxa"/>
            <w:noWrap w:val="0"/>
            <w:vAlign w:val="center"/>
          </w:tcPr>
          <w:p w14:paraId="212E5CD5">
            <w:pPr>
              <w:spacing w:line="360" w:lineRule="auto"/>
              <w:jc w:val="center"/>
              <w:rPr>
                <w:rFonts w:ascii="宋体" w:hAnsi="宋体" w:cs="仿宋"/>
                <w:sz w:val="24"/>
              </w:rPr>
            </w:pPr>
            <w:r>
              <w:rPr>
                <w:rFonts w:hint="eastAsia" w:ascii="宋体" w:hAnsi="宋体" w:cs="仿宋"/>
                <w:sz w:val="24"/>
              </w:rPr>
              <w:t>数量</w:t>
            </w:r>
          </w:p>
          <w:p w14:paraId="2FE68598">
            <w:pPr>
              <w:spacing w:line="360" w:lineRule="auto"/>
              <w:jc w:val="center"/>
              <w:rPr>
                <w:rFonts w:ascii="宋体" w:hAnsi="宋体" w:cs="仿宋"/>
                <w:sz w:val="24"/>
              </w:rPr>
            </w:pPr>
            <w:r>
              <w:rPr>
                <w:rFonts w:hint="eastAsia" w:ascii="宋体" w:hAnsi="宋体" w:cs="仿宋"/>
                <w:sz w:val="24"/>
              </w:rPr>
              <w:t>（</w:t>
            </w:r>
            <w:r>
              <w:rPr>
                <w:rFonts w:hint="eastAsia" w:ascii="宋体" w:hAnsi="宋体" w:cs="仿宋"/>
                <w:sz w:val="24"/>
                <w:lang w:val="en-US" w:eastAsia="zh-CN"/>
              </w:rPr>
              <w:t>台</w:t>
            </w:r>
            <w:r>
              <w:rPr>
                <w:rFonts w:hint="eastAsia" w:ascii="宋体" w:hAnsi="宋体" w:cs="仿宋"/>
                <w:sz w:val="24"/>
              </w:rPr>
              <w:t>）</w:t>
            </w:r>
          </w:p>
        </w:tc>
        <w:tc>
          <w:tcPr>
            <w:tcW w:w="1701" w:type="dxa"/>
            <w:noWrap w:val="0"/>
            <w:vAlign w:val="center"/>
          </w:tcPr>
          <w:p w14:paraId="70B0E1C3">
            <w:pPr>
              <w:spacing w:line="360" w:lineRule="auto"/>
              <w:jc w:val="center"/>
              <w:rPr>
                <w:rFonts w:ascii="宋体" w:hAnsi="宋体" w:cs="仿宋"/>
                <w:sz w:val="24"/>
              </w:rPr>
            </w:pPr>
            <w:r>
              <w:rPr>
                <w:rFonts w:hint="eastAsia" w:ascii="宋体" w:hAnsi="宋体" w:cs="仿宋"/>
                <w:sz w:val="24"/>
              </w:rPr>
              <w:t>签订日期</w:t>
            </w:r>
          </w:p>
          <w:p w14:paraId="25CAE649">
            <w:pPr>
              <w:spacing w:line="360" w:lineRule="auto"/>
              <w:jc w:val="center"/>
              <w:rPr>
                <w:rFonts w:ascii="宋体" w:hAnsi="宋体" w:cs="仿宋"/>
                <w:sz w:val="24"/>
              </w:rPr>
            </w:pPr>
            <w:r>
              <w:rPr>
                <w:rFonts w:hint="eastAsia" w:ascii="宋体" w:hAnsi="宋体" w:cs="仿宋"/>
                <w:sz w:val="24"/>
              </w:rPr>
              <w:t>（年月）</w:t>
            </w:r>
          </w:p>
        </w:tc>
      </w:tr>
      <w:tr w14:paraId="1170B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831" w:type="dxa"/>
            <w:noWrap w:val="0"/>
            <w:vAlign w:val="center"/>
          </w:tcPr>
          <w:p w14:paraId="79D52903">
            <w:pPr>
              <w:spacing w:line="360" w:lineRule="auto"/>
              <w:jc w:val="center"/>
              <w:rPr>
                <w:rFonts w:ascii="宋体" w:hAnsi="宋体" w:cs="仿宋"/>
                <w:sz w:val="24"/>
              </w:rPr>
            </w:pPr>
            <w:r>
              <w:rPr>
                <w:rFonts w:hint="eastAsia" w:ascii="宋体" w:hAnsi="宋体" w:cs="仿宋"/>
                <w:sz w:val="24"/>
              </w:rPr>
              <w:t>1</w:t>
            </w:r>
          </w:p>
        </w:tc>
        <w:tc>
          <w:tcPr>
            <w:tcW w:w="2036" w:type="dxa"/>
            <w:noWrap w:val="0"/>
            <w:vAlign w:val="center"/>
          </w:tcPr>
          <w:p w14:paraId="1F3B68A8">
            <w:pPr>
              <w:pStyle w:val="34"/>
              <w:spacing w:beforeLines="0" w:line="360" w:lineRule="auto"/>
              <w:rPr>
                <w:rFonts w:ascii="宋体" w:hAnsi="宋体" w:cs="仿宋"/>
                <w:b w:val="0"/>
                <w:sz w:val="24"/>
                <w:szCs w:val="24"/>
              </w:rPr>
            </w:pPr>
          </w:p>
        </w:tc>
        <w:tc>
          <w:tcPr>
            <w:tcW w:w="3053" w:type="dxa"/>
            <w:noWrap w:val="0"/>
            <w:vAlign w:val="center"/>
          </w:tcPr>
          <w:p w14:paraId="5AD7BC7D">
            <w:pPr>
              <w:pStyle w:val="34"/>
              <w:spacing w:beforeLines="0" w:line="360" w:lineRule="auto"/>
              <w:rPr>
                <w:rFonts w:ascii="宋体" w:hAnsi="宋体" w:cs="仿宋"/>
                <w:b w:val="0"/>
                <w:sz w:val="24"/>
                <w:szCs w:val="24"/>
              </w:rPr>
            </w:pPr>
          </w:p>
        </w:tc>
        <w:tc>
          <w:tcPr>
            <w:tcW w:w="1276" w:type="dxa"/>
            <w:noWrap w:val="0"/>
            <w:vAlign w:val="center"/>
          </w:tcPr>
          <w:p w14:paraId="3C13C077">
            <w:pPr>
              <w:pStyle w:val="34"/>
              <w:spacing w:beforeLines="0" w:line="360" w:lineRule="auto"/>
              <w:rPr>
                <w:rFonts w:ascii="宋体" w:hAnsi="宋体" w:cs="仿宋"/>
                <w:b w:val="0"/>
                <w:sz w:val="24"/>
                <w:szCs w:val="24"/>
              </w:rPr>
            </w:pPr>
          </w:p>
        </w:tc>
        <w:tc>
          <w:tcPr>
            <w:tcW w:w="1701" w:type="dxa"/>
            <w:noWrap w:val="0"/>
            <w:vAlign w:val="center"/>
          </w:tcPr>
          <w:p w14:paraId="3A4BCE34">
            <w:pPr>
              <w:pStyle w:val="34"/>
              <w:spacing w:beforeLines="0" w:line="360" w:lineRule="auto"/>
              <w:rPr>
                <w:rFonts w:ascii="宋体" w:hAnsi="宋体" w:cs="仿宋"/>
                <w:b w:val="0"/>
                <w:sz w:val="24"/>
                <w:szCs w:val="24"/>
              </w:rPr>
            </w:pPr>
          </w:p>
        </w:tc>
      </w:tr>
      <w:tr w14:paraId="65AD9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31" w:type="dxa"/>
            <w:noWrap w:val="0"/>
            <w:vAlign w:val="center"/>
          </w:tcPr>
          <w:p w14:paraId="36FD2F95">
            <w:pPr>
              <w:spacing w:line="360" w:lineRule="auto"/>
              <w:jc w:val="center"/>
              <w:rPr>
                <w:rFonts w:ascii="宋体" w:hAnsi="宋体" w:cs="仿宋"/>
                <w:sz w:val="24"/>
              </w:rPr>
            </w:pPr>
            <w:r>
              <w:rPr>
                <w:rFonts w:hint="eastAsia" w:ascii="宋体" w:hAnsi="宋体" w:cs="仿宋"/>
                <w:sz w:val="24"/>
              </w:rPr>
              <w:t>2</w:t>
            </w:r>
          </w:p>
        </w:tc>
        <w:tc>
          <w:tcPr>
            <w:tcW w:w="2036" w:type="dxa"/>
            <w:noWrap w:val="0"/>
            <w:vAlign w:val="center"/>
          </w:tcPr>
          <w:p w14:paraId="4687E701">
            <w:pPr>
              <w:pStyle w:val="34"/>
              <w:spacing w:beforeLines="0" w:line="360" w:lineRule="auto"/>
              <w:rPr>
                <w:rFonts w:ascii="宋体" w:hAnsi="宋体" w:cs="仿宋"/>
                <w:b w:val="0"/>
                <w:sz w:val="24"/>
                <w:szCs w:val="24"/>
              </w:rPr>
            </w:pPr>
          </w:p>
        </w:tc>
        <w:tc>
          <w:tcPr>
            <w:tcW w:w="3053" w:type="dxa"/>
            <w:noWrap w:val="0"/>
            <w:vAlign w:val="center"/>
          </w:tcPr>
          <w:p w14:paraId="7A1DCE94">
            <w:pPr>
              <w:pStyle w:val="34"/>
              <w:spacing w:beforeLines="0" w:line="360" w:lineRule="auto"/>
              <w:rPr>
                <w:rFonts w:ascii="宋体" w:hAnsi="宋体" w:cs="仿宋"/>
                <w:b w:val="0"/>
                <w:sz w:val="24"/>
                <w:szCs w:val="24"/>
              </w:rPr>
            </w:pPr>
          </w:p>
        </w:tc>
        <w:tc>
          <w:tcPr>
            <w:tcW w:w="1276" w:type="dxa"/>
            <w:noWrap w:val="0"/>
            <w:vAlign w:val="center"/>
          </w:tcPr>
          <w:p w14:paraId="089B3C0F">
            <w:pPr>
              <w:pStyle w:val="34"/>
              <w:spacing w:beforeLines="0" w:line="360" w:lineRule="auto"/>
              <w:rPr>
                <w:rFonts w:ascii="宋体" w:hAnsi="宋体" w:cs="仿宋"/>
                <w:b w:val="0"/>
                <w:sz w:val="24"/>
                <w:szCs w:val="24"/>
              </w:rPr>
            </w:pPr>
          </w:p>
        </w:tc>
        <w:tc>
          <w:tcPr>
            <w:tcW w:w="1701" w:type="dxa"/>
            <w:noWrap w:val="0"/>
            <w:vAlign w:val="center"/>
          </w:tcPr>
          <w:p w14:paraId="6782B75F">
            <w:pPr>
              <w:pStyle w:val="34"/>
              <w:spacing w:beforeLines="0" w:line="360" w:lineRule="auto"/>
              <w:rPr>
                <w:rFonts w:ascii="宋体" w:hAnsi="宋体" w:cs="仿宋"/>
                <w:b w:val="0"/>
                <w:sz w:val="24"/>
                <w:szCs w:val="24"/>
              </w:rPr>
            </w:pPr>
          </w:p>
        </w:tc>
      </w:tr>
      <w:tr w14:paraId="529C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831" w:type="dxa"/>
            <w:noWrap w:val="0"/>
            <w:vAlign w:val="center"/>
          </w:tcPr>
          <w:p w14:paraId="1AD94EC0">
            <w:pPr>
              <w:spacing w:line="360" w:lineRule="auto"/>
              <w:jc w:val="center"/>
              <w:rPr>
                <w:rFonts w:ascii="宋体" w:hAnsi="宋体" w:cs="仿宋"/>
                <w:sz w:val="24"/>
              </w:rPr>
            </w:pPr>
            <w:r>
              <w:rPr>
                <w:rFonts w:hint="eastAsia" w:ascii="宋体" w:hAnsi="宋体" w:cs="仿宋"/>
                <w:sz w:val="24"/>
              </w:rPr>
              <w:t>3</w:t>
            </w:r>
          </w:p>
        </w:tc>
        <w:tc>
          <w:tcPr>
            <w:tcW w:w="2036" w:type="dxa"/>
            <w:noWrap w:val="0"/>
            <w:vAlign w:val="center"/>
          </w:tcPr>
          <w:p w14:paraId="5AB43879">
            <w:pPr>
              <w:pStyle w:val="34"/>
              <w:spacing w:beforeLines="0" w:line="360" w:lineRule="auto"/>
              <w:rPr>
                <w:rFonts w:ascii="宋体" w:hAnsi="宋体" w:cs="仿宋"/>
                <w:b w:val="0"/>
                <w:sz w:val="24"/>
                <w:szCs w:val="24"/>
              </w:rPr>
            </w:pPr>
          </w:p>
        </w:tc>
        <w:tc>
          <w:tcPr>
            <w:tcW w:w="3053" w:type="dxa"/>
            <w:noWrap w:val="0"/>
            <w:vAlign w:val="center"/>
          </w:tcPr>
          <w:p w14:paraId="5422F198">
            <w:pPr>
              <w:pStyle w:val="34"/>
              <w:spacing w:beforeLines="0" w:line="360" w:lineRule="auto"/>
              <w:rPr>
                <w:rFonts w:ascii="宋体" w:hAnsi="宋体" w:cs="仿宋"/>
                <w:b w:val="0"/>
                <w:sz w:val="24"/>
                <w:szCs w:val="24"/>
              </w:rPr>
            </w:pPr>
          </w:p>
        </w:tc>
        <w:tc>
          <w:tcPr>
            <w:tcW w:w="1276" w:type="dxa"/>
            <w:noWrap w:val="0"/>
            <w:vAlign w:val="center"/>
          </w:tcPr>
          <w:p w14:paraId="65C4223E">
            <w:pPr>
              <w:pStyle w:val="34"/>
              <w:spacing w:beforeLines="0" w:line="360" w:lineRule="auto"/>
              <w:rPr>
                <w:rFonts w:ascii="宋体" w:hAnsi="宋体" w:cs="仿宋"/>
                <w:b w:val="0"/>
                <w:sz w:val="24"/>
                <w:szCs w:val="24"/>
              </w:rPr>
            </w:pPr>
          </w:p>
        </w:tc>
        <w:tc>
          <w:tcPr>
            <w:tcW w:w="1701" w:type="dxa"/>
            <w:noWrap w:val="0"/>
            <w:vAlign w:val="center"/>
          </w:tcPr>
          <w:p w14:paraId="12E63C5C">
            <w:pPr>
              <w:pStyle w:val="34"/>
              <w:spacing w:beforeLines="0" w:line="360" w:lineRule="auto"/>
              <w:rPr>
                <w:rFonts w:ascii="宋体" w:hAnsi="宋体" w:cs="仿宋"/>
                <w:b w:val="0"/>
                <w:sz w:val="24"/>
                <w:szCs w:val="24"/>
              </w:rPr>
            </w:pPr>
          </w:p>
        </w:tc>
      </w:tr>
      <w:tr w14:paraId="1AEAA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31" w:type="dxa"/>
            <w:noWrap w:val="0"/>
            <w:vAlign w:val="center"/>
          </w:tcPr>
          <w:p w14:paraId="6E9AC7B5">
            <w:pPr>
              <w:spacing w:line="360" w:lineRule="auto"/>
              <w:jc w:val="center"/>
              <w:rPr>
                <w:rFonts w:ascii="宋体" w:hAnsi="宋体" w:cs="仿宋"/>
                <w:sz w:val="24"/>
              </w:rPr>
            </w:pPr>
            <w:r>
              <w:rPr>
                <w:rFonts w:hint="eastAsia" w:ascii="宋体" w:hAnsi="宋体" w:cs="仿宋"/>
                <w:sz w:val="24"/>
              </w:rPr>
              <w:t>……</w:t>
            </w:r>
          </w:p>
        </w:tc>
        <w:tc>
          <w:tcPr>
            <w:tcW w:w="2036" w:type="dxa"/>
            <w:noWrap w:val="0"/>
            <w:vAlign w:val="center"/>
          </w:tcPr>
          <w:p w14:paraId="5E4CD7E8">
            <w:pPr>
              <w:pStyle w:val="34"/>
              <w:spacing w:beforeLines="0" w:line="360" w:lineRule="auto"/>
              <w:rPr>
                <w:rFonts w:ascii="宋体" w:hAnsi="宋体" w:cs="仿宋"/>
                <w:b w:val="0"/>
                <w:sz w:val="24"/>
                <w:szCs w:val="24"/>
              </w:rPr>
            </w:pPr>
          </w:p>
        </w:tc>
        <w:tc>
          <w:tcPr>
            <w:tcW w:w="3053" w:type="dxa"/>
            <w:noWrap w:val="0"/>
            <w:vAlign w:val="center"/>
          </w:tcPr>
          <w:p w14:paraId="2F5C494A">
            <w:pPr>
              <w:pStyle w:val="34"/>
              <w:spacing w:beforeLines="0" w:line="360" w:lineRule="auto"/>
              <w:rPr>
                <w:rFonts w:ascii="宋体" w:hAnsi="宋体" w:cs="仿宋"/>
                <w:b w:val="0"/>
                <w:sz w:val="24"/>
                <w:szCs w:val="24"/>
              </w:rPr>
            </w:pPr>
          </w:p>
        </w:tc>
        <w:tc>
          <w:tcPr>
            <w:tcW w:w="1276" w:type="dxa"/>
            <w:noWrap w:val="0"/>
            <w:vAlign w:val="center"/>
          </w:tcPr>
          <w:p w14:paraId="689A0823">
            <w:pPr>
              <w:pStyle w:val="34"/>
              <w:spacing w:beforeLines="0" w:line="360" w:lineRule="auto"/>
              <w:rPr>
                <w:rFonts w:ascii="宋体" w:hAnsi="宋体" w:cs="仿宋"/>
                <w:b w:val="0"/>
                <w:sz w:val="24"/>
                <w:szCs w:val="24"/>
              </w:rPr>
            </w:pPr>
          </w:p>
        </w:tc>
        <w:tc>
          <w:tcPr>
            <w:tcW w:w="1701" w:type="dxa"/>
            <w:noWrap w:val="0"/>
            <w:vAlign w:val="center"/>
          </w:tcPr>
          <w:p w14:paraId="2A8CADE6">
            <w:pPr>
              <w:pStyle w:val="34"/>
              <w:spacing w:beforeLines="0" w:line="360" w:lineRule="auto"/>
              <w:rPr>
                <w:rFonts w:ascii="宋体" w:hAnsi="宋体" w:cs="仿宋"/>
                <w:b w:val="0"/>
                <w:sz w:val="24"/>
                <w:szCs w:val="24"/>
              </w:rPr>
            </w:pPr>
          </w:p>
        </w:tc>
      </w:tr>
    </w:tbl>
    <w:p w14:paraId="63E71196">
      <w:pPr>
        <w:topLinePunct/>
        <w:spacing w:line="360" w:lineRule="auto"/>
        <w:ind w:firstLine="420" w:firstLineChars="200"/>
        <w:rPr>
          <w:rFonts w:ascii="宋体" w:hAnsi="宋体" w:cs="仿宋"/>
        </w:rPr>
      </w:pPr>
    </w:p>
    <w:p w14:paraId="59997164">
      <w:pPr>
        <w:topLinePunct/>
        <w:spacing w:line="360" w:lineRule="auto"/>
        <w:ind w:firstLine="420" w:firstLineChars="200"/>
        <w:rPr>
          <w:rFonts w:ascii="宋体" w:hAnsi="宋体" w:cs="仿宋"/>
        </w:rPr>
      </w:pPr>
      <w:r>
        <w:rPr>
          <w:rFonts w:hint="eastAsia" w:ascii="宋体" w:hAnsi="宋体" w:cs="仿宋"/>
        </w:rPr>
        <w:t>注：表格可扩展、修改并增加内容。</w:t>
      </w:r>
    </w:p>
    <w:p w14:paraId="135C2F7C">
      <w:pPr>
        <w:spacing w:line="360" w:lineRule="auto"/>
        <w:rPr>
          <w:rFonts w:ascii="宋体" w:hAnsi="宋体" w:cs="仿宋"/>
        </w:rPr>
      </w:pPr>
    </w:p>
    <w:p w14:paraId="287231F1">
      <w:pPr>
        <w:spacing w:line="360" w:lineRule="auto"/>
        <w:ind w:firstLine="4200" w:firstLineChars="1750"/>
        <w:rPr>
          <w:rFonts w:ascii="宋体" w:hAnsi="宋体" w:cs="仿宋"/>
          <w:sz w:val="24"/>
        </w:rPr>
      </w:pPr>
      <w:r>
        <w:rPr>
          <w:rFonts w:hint="eastAsia" w:cs="仿宋"/>
          <w:sz w:val="24"/>
          <w:lang w:val="en-US" w:eastAsia="zh-CN"/>
        </w:rPr>
        <w:t>供应商</w:t>
      </w:r>
      <w:r>
        <w:rPr>
          <w:rFonts w:hint="eastAsia" w:ascii="宋体" w:hAnsi="宋体" w:cs="仿宋"/>
          <w:sz w:val="24"/>
        </w:rPr>
        <w:t>：（盖单位章）</w:t>
      </w:r>
    </w:p>
    <w:p w14:paraId="58C69AB0">
      <w:pPr>
        <w:spacing w:line="360" w:lineRule="auto"/>
        <w:ind w:firstLine="4200" w:firstLineChars="1750"/>
        <w:rPr>
          <w:rFonts w:ascii="宋体" w:hAnsi="宋体" w:cs="仿宋"/>
          <w:sz w:val="24"/>
        </w:rPr>
      </w:pPr>
      <w:r>
        <w:rPr>
          <w:rFonts w:hint="eastAsia" w:ascii="宋体" w:hAnsi="宋体" w:cs="仿宋"/>
          <w:sz w:val="24"/>
        </w:rPr>
        <w:t>法定代表人或其委托代理人：（签字）</w:t>
      </w:r>
    </w:p>
    <w:p w14:paraId="7E73EDCD">
      <w:pPr>
        <w:spacing w:line="360" w:lineRule="auto"/>
        <w:ind w:firstLine="4200" w:firstLineChars="1750"/>
        <w:rPr>
          <w:rFonts w:ascii="宋体" w:hAnsi="宋体" w:cs="仿宋"/>
        </w:rPr>
      </w:pPr>
      <w:r>
        <w:rPr>
          <w:rFonts w:hint="eastAsia" w:ascii="宋体" w:hAnsi="宋体" w:cs="仿宋"/>
          <w:sz w:val="24"/>
        </w:rPr>
        <w:t>年月日</w:t>
      </w:r>
    </w:p>
    <w:p w14:paraId="4F8D0E05">
      <w:pPr>
        <w:widowControl/>
        <w:spacing w:line="360" w:lineRule="auto"/>
        <w:jc w:val="left"/>
        <w:rPr>
          <w:rFonts w:ascii="宋体" w:hAnsi="宋体" w:cs="仿宋"/>
          <w:spacing w:val="20"/>
          <w:u w:val="single"/>
        </w:rPr>
      </w:pPr>
    </w:p>
    <w:p w14:paraId="25221DA5">
      <w:pPr>
        <w:widowControl w:val="0"/>
        <w:tabs>
          <w:tab w:val="left" w:pos="851"/>
        </w:tabs>
        <w:spacing w:after="80" w:line="360" w:lineRule="auto"/>
        <w:ind w:left="851" w:hanging="851"/>
        <w:jc w:val="both"/>
        <w:outlineLvl w:val="3"/>
        <w:rPr>
          <w:rFonts w:hint="eastAsia"/>
          <w:lang w:val="en-US" w:eastAsia="zh-CN"/>
        </w:rPr>
      </w:pPr>
      <w:r>
        <w:rPr>
          <w:rFonts w:hint="eastAsia" w:cs="仿宋"/>
          <w:spacing w:val="20"/>
          <w:kern w:val="0"/>
        </w:rPr>
        <w:br w:type="page"/>
      </w:r>
    </w:p>
    <w:p w14:paraId="03D1A913">
      <w:pPr>
        <w:spacing w:line="360" w:lineRule="auto"/>
        <w:rPr>
          <w:rFonts w:ascii="宋体" w:hAnsi="宋体" w:cs="仿宋"/>
          <w:b/>
          <w:sz w:val="24"/>
        </w:rPr>
      </w:pPr>
      <w:r>
        <w:rPr>
          <w:rFonts w:hint="eastAsia" w:cs="仿宋"/>
          <w:b/>
          <w:sz w:val="24"/>
          <w:lang w:val="en-US" w:eastAsia="zh-CN"/>
        </w:rPr>
        <w:t>5</w:t>
      </w:r>
      <w:r>
        <w:rPr>
          <w:rFonts w:hint="eastAsia" w:ascii="宋体" w:hAnsi="宋体" w:cs="仿宋"/>
          <w:b/>
          <w:sz w:val="24"/>
        </w:rPr>
        <w:t>.1报价说明：</w:t>
      </w:r>
    </w:p>
    <w:p w14:paraId="5AF5EEF0">
      <w:pPr>
        <w:tabs>
          <w:tab w:val="left" w:pos="945"/>
        </w:tabs>
        <w:spacing w:line="360" w:lineRule="auto"/>
        <w:ind w:firstLine="480" w:firstLineChars="200"/>
        <w:rPr>
          <w:rFonts w:ascii="宋体" w:hAnsi="宋体" w:cs="仿宋"/>
          <w:sz w:val="24"/>
        </w:rPr>
      </w:pPr>
      <w:r>
        <w:rPr>
          <w:rFonts w:hint="eastAsia" w:cs="仿宋"/>
          <w:sz w:val="24"/>
          <w:lang w:val="en-US" w:eastAsia="zh-CN"/>
        </w:rPr>
        <w:t>（1）</w:t>
      </w:r>
      <w:r>
        <w:rPr>
          <w:rFonts w:hint="eastAsia" w:ascii="宋体" w:hAnsi="宋体" w:cs="仿宋"/>
          <w:sz w:val="24"/>
        </w:rPr>
        <w:t>报价表应按本</w:t>
      </w:r>
      <w:r>
        <w:rPr>
          <w:rFonts w:hint="eastAsia" w:cs="仿宋"/>
          <w:sz w:val="24"/>
          <w:lang w:val="en-US" w:eastAsia="zh-CN"/>
        </w:rPr>
        <w:t>招标</w:t>
      </w:r>
      <w:r>
        <w:rPr>
          <w:rFonts w:hint="eastAsia" w:ascii="宋体" w:hAnsi="宋体" w:cs="仿宋"/>
          <w:sz w:val="24"/>
        </w:rPr>
        <w:t>文件规定的格式填写。</w:t>
      </w:r>
    </w:p>
    <w:p w14:paraId="173A2818">
      <w:pPr>
        <w:tabs>
          <w:tab w:val="left" w:pos="945"/>
        </w:tabs>
        <w:spacing w:line="360" w:lineRule="auto"/>
        <w:ind w:firstLine="480" w:firstLineChars="200"/>
        <w:rPr>
          <w:rFonts w:ascii="宋体" w:hAnsi="宋体" w:cs="仿宋"/>
          <w:sz w:val="24"/>
        </w:rPr>
      </w:pPr>
      <w:r>
        <w:rPr>
          <w:rFonts w:hint="eastAsia" w:cs="仿宋"/>
          <w:sz w:val="24"/>
          <w:lang w:val="en-US" w:eastAsia="zh-CN"/>
        </w:rPr>
        <w:t>（2）</w:t>
      </w:r>
      <w:r>
        <w:rPr>
          <w:rFonts w:hint="eastAsia" w:ascii="宋体" w:hAnsi="宋体" w:cs="仿宋"/>
          <w:sz w:val="24"/>
        </w:rPr>
        <w:t>报价币种为人民币。</w:t>
      </w:r>
    </w:p>
    <w:p w14:paraId="05CAD4C1">
      <w:pPr>
        <w:tabs>
          <w:tab w:val="left" w:pos="945"/>
        </w:tabs>
        <w:spacing w:line="360" w:lineRule="auto"/>
        <w:ind w:firstLine="480" w:firstLineChars="200"/>
        <w:rPr>
          <w:rFonts w:ascii="宋体" w:hAnsi="宋体" w:cs="仿宋"/>
          <w:sz w:val="24"/>
        </w:rPr>
      </w:pPr>
      <w:r>
        <w:rPr>
          <w:rFonts w:hint="eastAsia" w:cs="仿宋"/>
          <w:sz w:val="24"/>
          <w:lang w:val="en-US" w:eastAsia="zh-CN"/>
        </w:rPr>
        <w:t>（3）</w:t>
      </w:r>
      <w:r>
        <w:rPr>
          <w:rFonts w:hint="eastAsia" w:ascii="宋体" w:hAnsi="宋体" w:cs="仿宋"/>
          <w:sz w:val="24"/>
        </w:rPr>
        <w:t>如果按单价计算的结果与总价不一致，以单价为准修正总价。</w:t>
      </w:r>
    </w:p>
    <w:p w14:paraId="30272A57">
      <w:pPr>
        <w:tabs>
          <w:tab w:val="left" w:pos="945"/>
        </w:tabs>
        <w:spacing w:line="360" w:lineRule="auto"/>
        <w:ind w:firstLine="480" w:firstLineChars="200"/>
        <w:rPr>
          <w:rFonts w:ascii="宋体" w:hAnsi="宋体" w:cs="仿宋"/>
          <w:sz w:val="24"/>
        </w:rPr>
      </w:pPr>
      <w:r>
        <w:rPr>
          <w:rFonts w:hint="eastAsia" w:cs="仿宋"/>
          <w:sz w:val="24"/>
          <w:lang w:val="en-US" w:eastAsia="zh-CN"/>
        </w:rPr>
        <w:t>（4）</w:t>
      </w:r>
      <w:r>
        <w:rPr>
          <w:rFonts w:hint="eastAsia" w:ascii="宋体" w:hAnsi="宋体" w:cs="仿宋"/>
          <w:sz w:val="24"/>
        </w:rPr>
        <w:t>报价清单中有计算或汇总中的算术错误时，将按</w:t>
      </w:r>
      <w:r>
        <w:rPr>
          <w:rFonts w:hint="eastAsia" w:cs="仿宋"/>
          <w:sz w:val="24"/>
          <w:lang w:val="en-US" w:eastAsia="zh-CN"/>
        </w:rPr>
        <w:t>招标</w:t>
      </w:r>
      <w:r>
        <w:rPr>
          <w:rFonts w:hint="eastAsia" w:ascii="宋体" w:hAnsi="宋体" w:cs="仿宋"/>
          <w:sz w:val="24"/>
        </w:rPr>
        <w:t>须知中有关规定执行。</w:t>
      </w:r>
    </w:p>
    <w:p w14:paraId="2933EC26">
      <w:pPr>
        <w:tabs>
          <w:tab w:val="left" w:pos="945"/>
        </w:tabs>
        <w:spacing w:line="360" w:lineRule="auto"/>
        <w:ind w:firstLine="480" w:firstLineChars="200"/>
        <w:rPr>
          <w:rFonts w:hint="eastAsia" w:ascii="宋体" w:hAnsi="宋体" w:eastAsia="宋体" w:cs="仿宋"/>
          <w:sz w:val="24"/>
          <w:lang w:eastAsia="zh-CN"/>
        </w:rPr>
      </w:pPr>
      <w:r>
        <w:rPr>
          <w:rFonts w:hint="eastAsia" w:cs="仿宋"/>
          <w:sz w:val="24"/>
          <w:lang w:eastAsia="zh-CN"/>
        </w:rPr>
        <w:t>（</w:t>
      </w:r>
      <w:r>
        <w:rPr>
          <w:rFonts w:hint="eastAsia" w:cs="仿宋"/>
          <w:sz w:val="24"/>
          <w:lang w:val="en-US" w:eastAsia="zh-CN"/>
        </w:rPr>
        <w:t>5</w:t>
      </w:r>
      <w:r>
        <w:rPr>
          <w:rFonts w:hint="eastAsia" w:cs="仿宋"/>
          <w:sz w:val="24"/>
          <w:lang w:eastAsia="zh-CN"/>
        </w:rPr>
        <w:t>）</w:t>
      </w:r>
      <w:r>
        <w:rPr>
          <w:rFonts w:hint="eastAsia" w:ascii="宋体" w:hAnsi="宋体"/>
          <w:sz w:val="24"/>
        </w:rPr>
        <w:t>报价含人工、</w:t>
      </w:r>
      <w:r>
        <w:rPr>
          <w:rFonts w:hint="eastAsia"/>
          <w:sz w:val="24"/>
          <w:lang w:val="en-US" w:eastAsia="zh-CN"/>
        </w:rPr>
        <w:t>安装、维修</w:t>
      </w:r>
      <w:r>
        <w:rPr>
          <w:rFonts w:hint="eastAsia" w:ascii="宋体" w:hAnsi="宋体"/>
          <w:sz w:val="24"/>
        </w:rPr>
        <w:t>、</w:t>
      </w:r>
      <w:r>
        <w:rPr>
          <w:rFonts w:hint="eastAsia"/>
          <w:sz w:val="24"/>
          <w:lang w:val="en-US" w:eastAsia="zh-CN"/>
        </w:rPr>
        <w:t>运费、</w:t>
      </w:r>
      <w:r>
        <w:rPr>
          <w:rFonts w:hint="eastAsia" w:ascii="宋体" w:hAnsi="宋体"/>
          <w:sz w:val="24"/>
        </w:rPr>
        <w:t>设备和辅材等</w:t>
      </w:r>
      <w:r>
        <w:rPr>
          <w:rFonts w:hint="eastAsia" w:ascii="宋体" w:hAnsi="宋体" w:cs="仿宋"/>
          <w:sz w:val="24"/>
        </w:rPr>
        <w:t>完成项目所需的各种费用</w:t>
      </w:r>
      <w:r>
        <w:rPr>
          <w:rFonts w:hint="eastAsia" w:ascii="宋体" w:hAnsi="宋体" w:cs="仿宋"/>
          <w:sz w:val="24"/>
          <w:lang w:eastAsia="zh-CN"/>
        </w:rPr>
        <w:t>。</w:t>
      </w:r>
    </w:p>
    <w:p w14:paraId="19AAF23C">
      <w:pPr>
        <w:tabs>
          <w:tab w:val="left" w:pos="945"/>
        </w:tabs>
        <w:spacing w:line="360" w:lineRule="auto"/>
        <w:ind w:firstLine="480" w:firstLineChars="200"/>
        <w:rPr>
          <w:rFonts w:ascii="宋体" w:hAnsi="宋体" w:cs="仿宋"/>
          <w:sz w:val="24"/>
        </w:rPr>
      </w:pPr>
      <w:r>
        <w:rPr>
          <w:rFonts w:hint="eastAsia" w:cs="仿宋"/>
          <w:sz w:val="24"/>
          <w:lang w:eastAsia="zh-CN"/>
        </w:rPr>
        <w:t>（</w:t>
      </w:r>
      <w:r>
        <w:rPr>
          <w:rFonts w:hint="eastAsia" w:cs="仿宋"/>
          <w:sz w:val="24"/>
          <w:lang w:val="en-US" w:eastAsia="zh-CN"/>
        </w:rPr>
        <w:t>6</w:t>
      </w:r>
      <w:r>
        <w:rPr>
          <w:rFonts w:hint="eastAsia" w:cs="仿宋"/>
          <w:sz w:val="24"/>
          <w:lang w:eastAsia="zh-CN"/>
        </w:rPr>
        <w:t>）</w:t>
      </w:r>
      <w:r>
        <w:rPr>
          <w:rFonts w:hint="eastAsia" w:ascii="宋体" w:hAnsi="宋体" w:cs="仿宋"/>
          <w:sz w:val="24"/>
        </w:rPr>
        <w:t>本项目为固定总价项目，合同价格包括</w:t>
      </w:r>
      <w:bookmarkStart w:id="204" w:name="OLE_LINK3"/>
      <w:r>
        <w:rPr>
          <w:rFonts w:hint="eastAsia" w:ascii="宋体" w:hAnsi="宋体" w:cs="仿宋"/>
          <w:sz w:val="24"/>
        </w:rPr>
        <w:t>完成项目所需的各种费用</w:t>
      </w:r>
      <w:bookmarkEnd w:id="204"/>
      <w:r>
        <w:rPr>
          <w:rFonts w:hint="eastAsia" w:ascii="宋体" w:hAnsi="宋体" w:cs="仿宋"/>
          <w:sz w:val="24"/>
        </w:rPr>
        <w:t>，且在合同执行过程中不作任何调整。</w:t>
      </w:r>
    </w:p>
    <w:p w14:paraId="47261DDF">
      <w:pPr>
        <w:tabs>
          <w:tab w:val="left" w:pos="945"/>
        </w:tabs>
        <w:spacing w:line="360" w:lineRule="auto"/>
        <w:ind w:left="959" w:leftChars="228" w:hanging="480" w:hangingChars="200"/>
        <w:rPr>
          <w:rFonts w:ascii="宋体" w:hAnsi="宋体" w:cs="仿宋"/>
          <w:sz w:val="24"/>
        </w:rPr>
      </w:pPr>
      <w:r>
        <w:rPr>
          <w:rFonts w:hint="eastAsia" w:cs="仿宋"/>
          <w:sz w:val="24"/>
          <w:lang w:val="en-US" w:eastAsia="zh-CN"/>
        </w:rPr>
        <w:t>（7）</w:t>
      </w:r>
      <w:r>
        <w:rPr>
          <w:rFonts w:hint="eastAsia" w:ascii="宋体" w:hAnsi="宋体" w:cs="仿宋"/>
          <w:sz w:val="24"/>
        </w:rPr>
        <w:t>若</w:t>
      </w:r>
      <w:r>
        <w:rPr>
          <w:rFonts w:hint="eastAsia" w:cs="仿宋"/>
          <w:sz w:val="24"/>
          <w:lang w:val="en-US" w:eastAsia="zh-CN"/>
        </w:rPr>
        <w:t>投标人</w:t>
      </w:r>
      <w:r>
        <w:rPr>
          <w:rFonts w:hint="eastAsia" w:ascii="宋体" w:hAnsi="宋体" w:cs="仿宋"/>
          <w:sz w:val="24"/>
        </w:rPr>
        <w:t>对某些项目未报价，则应认为已包括在总报价内。</w:t>
      </w:r>
    </w:p>
    <w:p w14:paraId="635D367F">
      <w:pPr>
        <w:tabs>
          <w:tab w:val="left" w:pos="945"/>
        </w:tabs>
        <w:spacing w:line="360" w:lineRule="auto"/>
        <w:ind w:firstLine="480" w:firstLineChars="200"/>
        <w:rPr>
          <w:rFonts w:ascii="宋体" w:hAnsi="宋体" w:cs="仿宋"/>
          <w:sz w:val="24"/>
        </w:rPr>
      </w:pPr>
      <w:r>
        <w:rPr>
          <w:rFonts w:hint="eastAsia" w:cs="仿宋"/>
          <w:sz w:val="24"/>
          <w:lang w:eastAsia="zh-CN"/>
        </w:rPr>
        <w:t>（</w:t>
      </w:r>
      <w:r>
        <w:rPr>
          <w:rFonts w:hint="eastAsia" w:cs="仿宋"/>
          <w:sz w:val="24"/>
          <w:lang w:val="en-US" w:eastAsia="zh-CN"/>
        </w:rPr>
        <w:t>8</w:t>
      </w:r>
      <w:r>
        <w:rPr>
          <w:rFonts w:hint="eastAsia" w:cs="仿宋"/>
          <w:sz w:val="24"/>
          <w:lang w:eastAsia="zh-CN"/>
        </w:rPr>
        <w:t>）</w:t>
      </w:r>
      <w:r>
        <w:rPr>
          <w:rFonts w:ascii="宋体" w:hAnsi="宋体" w:cs="仿宋"/>
          <w:sz w:val="24"/>
        </w:rPr>
        <w:t>报价</w:t>
      </w:r>
      <w:r>
        <w:rPr>
          <w:rFonts w:hint="eastAsia" w:cs="仿宋"/>
          <w:sz w:val="24"/>
          <w:lang w:val="en-US" w:eastAsia="zh-CN"/>
        </w:rPr>
        <w:t>为</w:t>
      </w:r>
      <w:r>
        <w:rPr>
          <w:rFonts w:ascii="宋体" w:hAnsi="宋体" w:cs="仿宋"/>
          <w:sz w:val="24"/>
        </w:rPr>
        <w:t>含</w:t>
      </w:r>
      <w:r>
        <w:rPr>
          <w:rFonts w:hint="eastAsia" w:cs="仿宋"/>
          <w:sz w:val="24"/>
          <w:u w:val="single"/>
          <w:lang w:val="en-US" w:eastAsia="zh-CN"/>
        </w:rPr>
        <w:t xml:space="preserve">   </w:t>
      </w:r>
      <w:r>
        <w:rPr>
          <w:rFonts w:ascii="宋体" w:hAnsi="宋体" w:cs="仿宋"/>
          <w:sz w:val="24"/>
        </w:rPr>
        <w:t>%增值税专用发票价格</w:t>
      </w:r>
      <w:r>
        <w:rPr>
          <w:rFonts w:hint="eastAsia" w:ascii="宋体" w:hAnsi="宋体" w:cs="仿宋"/>
          <w:sz w:val="24"/>
        </w:rPr>
        <w:t>（以人民币报价的方式）。</w:t>
      </w:r>
    </w:p>
    <w:p w14:paraId="0B62B3BD">
      <w:pPr>
        <w:autoSpaceDE w:val="0"/>
        <w:autoSpaceDN w:val="0"/>
        <w:adjustRightInd w:val="0"/>
        <w:snapToGrid w:val="0"/>
        <w:ind w:left="393" w:hanging="393" w:hangingChars="163"/>
        <w:rPr>
          <w:rFonts w:hint="eastAsia" w:ascii="宋体" w:hAnsi="宋体" w:cs="仿宋"/>
          <w:b/>
          <w:kern w:val="0"/>
          <w:sz w:val="24"/>
          <w:szCs w:val="24"/>
        </w:rPr>
      </w:pPr>
    </w:p>
    <w:p w14:paraId="5E713117">
      <w:pPr>
        <w:autoSpaceDE w:val="0"/>
        <w:autoSpaceDN w:val="0"/>
        <w:adjustRightInd w:val="0"/>
        <w:snapToGrid w:val="0"/>
        <w:ind w:left="393" w:hanging="393" w:hangingChars="163"/>
        <w:rPr>
          <w:rFonts w:hint="default" w:ascii="宋体" w:hAnsi="宋体" w:cs="仿宋" w:eastAsiaTheme="minorEastAsia"/>
          <w:b/>
          <w:kern w:val="0"/>
          <w:sz w:val="24"/>
          <w:szCs w:val="24"/>
          <w:lang w:val="en-US" w:eastAsia="zh-CN"/>
        </w:rPr>
      </w:pPr>
      <w:r>
        <w:rPr>
          <w:rFonts w:hint="eastAsia" w:ascii="宋体" w:hAnsi="宋体" w:cs="仿宋"/>
          <w:b/>
          <w:kern w:val="0"/>
          <w:sz w:val="24"/>
          <w:szCs w:val="24"/>
          <w:lang w:val="en-US" w:eastAsia="zh-CN"/>
        </w:rPr>
        <w:t>5.2  报价表</w:t>
      </w:r>
    </w:p>
    <w:p w14:paraId="325B95EF">
      <w:pPr>
        <w:autoSpaceDE w:val="0"/>
        <w:autoSpaceDN w:val="0"/>
        <w:adjustRightInd w:val="0"/>
        <w:snapToGrid w:val="0"/>
        <w:ind w:left="393" w:hanging="393" w:hangingChars="163"/>
        <w:rPr>
          <w:rFonts w:hint="eastAsia" w:ascii="宋体" w:hAnsi="宋体" w:cs="仿宋"/>
          <w:b/>
          <w:kern w:val="0"/>
          <w:sz w:val="24"/>
          <w:szCs w:val="24"/>
        </w:rPr>
      </w:pPr>
    </w:p>
    <w:tbl>
      <w:tblPr>
        <w:tblStyle w:val="13"/>
        <w:tblW w:w="903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1501"/>
        <w:gridCol w:w="1919"/>
        <w:gridCol w:w="1260"/>
        <w:gridCol w:w="1688"/>
      </w:tblGrid>
      <w:tr w14:paraId="4790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2665" w:type="dxa"/>
            <w:tcBorders>
              <w:top w:val="single" w:color="auto" w:sz="4" w:space="0"/>
              <w:left w:val="single" w:color="auto" w:sz="4" w:space="0"/>
              <w:bottom w:val="single" w:color="auto" w:sz="4" w:space="0"/>
              <w:right w:val="single" w:color="auto" w:sz="4" w:space="0"/>
            </w:tcBorders>
            <w:vAlign w:val="center"/>
          </w:tcPr>
          <w:p w14:paraId="3C1CECC7">
            <w:pPr>
              <w:spacing w:line="580" w:lineRule="exact"/>
              <w:jc w:val="center"/>
              <w:rPr>
                <w:rFonts w:ascii="仿宋" w:hAnsi="仿宋" w:eastAsia="仿宋"/>
                <w:bCs/>
                <w:sz w:val="24"/>
                <w:szCs w:val="24"/>
              </w:rPr>
            </w:pPr>
            <w:r>
              <w:rPr>
                <w:rFonts w:hint="eastAsia" w:ascii="仿宋" w:hAnsi="仿宋" w:eastAsia="仿宋"/>
                <w:bCs/>
                <w:sz w:val="24"/>
                <w:szCs w:val="24"/>
              </w:rPr>
              <w:t>项目</w:t>
            </w:r>
          </w:p>
        </w:tc>
        <w:tc>
          <w:tcPr>
            <w:tcW w:w="1501" w:type="dxa"/>
            <w:tcBorders>
              <w:top w:val="single" w:color="auto" w:sz="4" w:space="0"/>
              <w:left w:val="single" w:color="auto" w:sz="4" w:space="0"/>
              <w:bottom w:val="single" w:color="auto" w:sz="4" w:space="0"/>
              <w:right w:val="single" w:color="auto" w:sz="4" w:space="0"/>
            </w:tcBorders>
            <w:vAlign w:val="center"/>
          </w:tcPr>
          <w:p w14:paraId="1ECDA2B0">
            <w:pPr>
              <w:spacing w:line="580" w:lineRule="exact"/>
              <w:jc w:val="center"/>
              <w:rPr>
                <w:rFonts w:ascii="仿宋" w:hAnsi="仿宋" w:eastAsia="仿宋"/>
                <w:bCs/>
                <w:sz w:val="24"/>
                <w:szCs w:val="24"/>
              </w:rPr>
            </w:pPr>
            <w:r>
              <w:rPr>
                <w:rFonts w:hint="eastAsia" w:ascii="仿宋" w:hAnsi="仿宋" w:eastAsia="仿宋"/>
                <w:bCs/>
                <w:sz w:val="24"/>
                <w:szCs w:val="24"/>
              </w:rPr>
              <w:t>计量单位</w:t>
            </w:r>
          </w:p>
        </w:tc>
        <w:tc>
          <w:tcPr>
            <w:tcW w:w="1919" w:type="dxa"/>
            <w:tcBorders>
              <w:top w:val="single" w:color="auto" w:sz="4" w:space="0"/>
              <w:left w:val="single" w:color="auto" w:sz="4" w:space="0"/>
              <w:bottom w:val="single" w:color="auto" w:sz="4" w:space="0"/>
              <w:right w:val="single" w:color="auto" w:sz="4" w:space="0"/>
            </w:tcBorders>
            <w:vAlign w:val="center"/>
          </w:tcPr>
          <w:p w14:paraId="11F51BC0">
            <w:pPr>
              <w:spacing w:line="580" w:lineRule="exact"/>
              <w:jc w:val="center"/>
              <w:rPr>
                <w:rFonts w:ascii="仿宋" w:hAnsi="仿宋" w:eastAsia="仿宋"/>
                <w:bCs/>
                <w:sz w:val="24"/>
                <w:szCs w:val="24"/>
              </w:rPr>
            </w:pPr>
            <w:r>
              <w:rPr>
                <w:rFonts w:hint="eastAsia" w:ascii="仿宋" w:hAnsi="仿宋" w:eastAsia="仿宋"/>
                <w:bCs/>
                <w:sz w:val="24"/>
                <w:szCs w:val="24"/>
              </w:rPr>
              <w:t>工作量</w:t>
            </w:r>
          </w:p>
        </w:tc>
        <w:tc>
          <w:tcPr>
            <w:tcW w:w="1260" w:type="dxa"/>
            <w:tcBorders>
              <w:top w:val="single" w:color="auto" w:sz="4" w:space="0"/>
              <w:left w:val="single" w:color="auto" w:sz="4" w:space="0"/>
              <w:bottom w:val="single" w:color="auto" w:sz="4" w:space="0"/>
              <w:right w:val="single" w:color="auto" w:sz="4" w:space="0"/>
            </w:tcBorders>
            <w:vAlign w:val="center"/>
          </w:tcPr>
          <w:p w14:paraId="2F2055CD">
            <w:pPr>
              <w:spacing w:line="580" w:lineRule="exact"/>
              <w:jc w:val="center"/>
              <w:rPr>
                <w:rFonts w:ascii="仿宋" w:hAnsi="仿宋" w:eastAsia="仿宋"/>
                <w:bCs/>
                <w:sz w:val="24"/>
                <w:szCs w:val="24"/>
              </w:rPr>
            </w:pPr>
            <w:r>
              <w:rPr>
                <w:rFonts w:hint="eastAsia" w:ascii="仿宋" w:hAnsi="仿宋" w:eastAsia="仿宋"/>
                <w:bCs/>
                <w:sz w:val="24"/>
                <w:szCs w:val="24"/>
              </w:rPr>
              <w:t>单价（元）</w:t>
            </w:r>
          </w:p>
        </w:tc>
        <w:tc>
          <w:tcPr>
            <w:tcW w:w="1688" w:type="dxa"/>
            <w:tcBorders>
              <w:top w:val="single" w:color="auto" w:sz="4" w:space="0"/>
              <w:left w:val="single" w:color="auto" w:sz="4" w:space="0"/>
              <w:bottom w:val="single" w:color="auto" w:sz="4" w:space="0"/>
              <w:right w:val="single" w:color="auto" w:sz="4" w:space="0"/>
            </w:tcBorders>
            <w:vAlign w:val="center"/>
          </w:tcPr>
          <w:p w14:paraId="156CB928">
            <w:pPr>
              <w:spacing w:line="580" w:lineRule="exact"/>
              <w:jc w:val="center"/>
              <w:rPr>
                <w:rFonts w:ascii="仿宋" w:hAnsi="仿宋" w:eastAsia="仿宋"/>
                <w:bCs/>
                <w:sz w:val="24"/>
                <w:szCs w:val="24"/>
              </w:rPr>
            </w:pPr>
            <w:r>
              <w:rPr>
                <w:rFonts w:hint="eastAsia" w:ascii="仿宋" w:hAnsi="仿宋" w:eastAsia="仿宋"/>
                <w:bCs/>
                <w:sz w:val="24"/>
                <w:szCs w:val="24"/>
              </w:rPr>
              <w:t>金额（元）</w:t>
            </w:r>
          </w:p>
        </w:tc>
      </w:tr>
      <w:tr w14:paraId="1A81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665" w:type="dxa"/>
            <w:tcBorders>
              <w:top w:val="single" w:color="auto" w:sz="4" w:space="0"/>
              <w:left w:val="single" w:color="auto" w:sz="4" w:space="0"/>
              <w:bottom w:val="single" w:color="auto" w:sz="4" w:space="0"/>
              <w:right w:val="single" w:color="auto" w:sz="4" w:space="0"/>
            </w:tcBorders>
            <w:vAlign w:val="center"/>
          </w:tcPr>
          <w:p w14:paraId="339D0C1E">
            <w:pPr>
              <w:spacing w:line="580" w:lineRule="exact"/>
              <w:jc w:val="center"/>
              <w:rPr>
                <w:rFonts w:ascii="仿宋" w:hAnsi="仿宋" w:eastAsia="仿宋"/>
                <w:bCs/>
                <w:sz w:val="24"/>
                <w:szCs w:val="24"/>
              </w:rPr>
            </w:pPr>
            <w:r>
              <w:rPr>
                <w:rFonts w:hint="eastAsia" w:ascii="仿宋" w:hAnsi="仿宋" w:eastAsia="仿宋"/>
                <w:bCs/>
                <w:sz w:val="24"/>
                <w:szCs w:val="24"/>
              </w:rPr>
              <w:t>委托筛分成品仓</w:t>
            </w:r>
            <w:r>
              <w:rPr>
                <w:rFonts w:hint="eastAsia" w:ascii="仿宋" w:hAnsi="仿宋" w:eastAsia="仿宋"/>
                <w:bCs/>
                <w:sz w:val="24"/>
                <w:szCs w:val="24"/>
                <w:lang w:eastAsia="zh-CN"/>
              </w:rPr>
              <w:t>1-3</w:t>
            </w:r>
            <w:r>
              <w:rPr>
                <w:rFonts w:hint="eastAsia" w:ascii="仿宋" w:hAnsi="仿宋" w:eastAsia="仿宋"/>
                <w:bCs/>
                <w:sz w:val="24"/>
                <w:szCs w:val="24"/>
              </w:rPr>
              <w:t>石子</w:t>
            </w:r>
          </w:p>
        </w:tc>
        <w:tc>
          <w:tcPr>
            <w:tcW w:w="1501" w:type="dxa"/>
            <w:tcBorders>
              <w:top w:val="single" w:color="auto" w:sz="4" w:space="0"/>
              <w:left w:val="single" w:color="auto" w:sz="4" w:space="0"/>
              <w:bottom w:val="single" w:color="auto" w:sz="4" w:space="0"/>
              <w:right w:val="single" w:color="auto" w:sz="4" w:space="0"/>
            </w:tcBorders>
            <w:vAlign w:val="center"/>
          </w:tcPr>
          <w:p w14:paraId="3B7F07E0">
            <w:pPr>
              <w:spacing w:line="580" w:lineRule="exact"/>
              <w:jc w:val="center"/>
              <w:rPr>
                <w:rFonts w:ascii="仿宋" w:hAnsi="仿宋" w:eastAsia="仿宋"/>
                <w:bCs/>
                <w:sz w:val="24"/>
                <w:szCs w:val="24"/>
              </w:rPr>
            </w:pPr>
            <w:r>
              <w:rPr>
                <w:rFonts w:hint="eastAsia" w:ascii="仿宋" w:hAnsi="仿宋" w:eastAsia="仿宋"/>
                <w:bCs/>
                <w:sz w:val="24"/>
                <w:szCs w:val="24"/>
              </w:rPr>
              <w:t>吨</w:t>
            </w:r>
          </w:p>
        </w:tc>
        <w:tc>
          <w:tcPr>
            <w:tcW w:w="1919" w:type="dxa"/>
            <w:tcBorders>
              <w:top w:val="single" w:color="auto" w:sz="4" w:space="0"/>
              <w:left w:val="single" w:color="auto" w:sz="4" w:space="0"/>
              <w:bottom w:val="single" w:color="auto" w:sz="4" w:space="0"/>
              <w:right w:val="single" w:color="auto" w:sz="4" w:space="0"/>
            </w:tcBorders>
            <w:vAlign w:val="center"/>
          </w:tcPr>
          <w:p w14:paraId="4819D0D8">
            <w:pPr>
              <w:spacing w:line="580" w:lineRule="exact"/>
              <w:jc w:val="center"/>
              <w:rPr>
                <w:rFonts w:ascii="仿宋" w:hAnsi="仿宋" w:eastAsia="仿宋"/>
                <w:bCs/>
                <w:sz w:val="24"/>
                <w:szCs w:val="24"/>
              </w:rPr>
            </w:pPr>
            <w:r>
              <w:rPr>
                <w:rFonts w:hint="eastAsia" w:ascii="仿宋" w:hAnsi="仿宋" w:eastAsia="仿宋"/>
                <w:bCs/>
                <w:sz w:val="24"/>
                <w:szCs w:val="24"/>
              </w:rPr>
              <w:t>2</w:t>
            </w:r>
            <w:r>
              <w:rPr>
                <w:rFonts w:hint="eastAsia" w:ascii="仿宋" w:hAnsi="仿宋" w:eastAsia="仿宋"/>
                <w:bCs/>
                <w:sz w:val="24"/>
                <w:szCs w:val="24"/>
                <w:lang w:val="en-US" w:eastAsia="zh-CN"/>
              </w:rPr>
              <w:t>65</w:t>
            </w:r>
            <w:r>
              <w:rPr>
                <w:rFonts w:hint="eastAsia" w:ascii="仿宋" w:hAnsi="仿宋" w:eastAsia="仿宋"/>
                <w:bCs/>
                <w:sz w:val="24"/>
                <w:szCs w:val="24"/>
              </w:rPr>
              <w:t>000</w:t>
            </w:r>
          </w:p>
        </w:tc>
        <w:tc>
          <w:tcPr>
            <w:tcW w:w="1260" w:type="dxa"/>
            <w:tcBorders>
              <w:top w:val="single" w:color="auto" w:sz="4" w:space="0"/>
              <w:left w:val="single" w:color="auto" w:sz="4" w:space="0"/>
              <w:bottom w:val="single" w:color="auto" w:sz="4" w:space="0"/>
              <w:right w:val="single" w:color="auto" w:sz="4" w:space="0"/>
            </w:tcBorders>
            <w:vAlign w:val="center"/>
          </w:tcPr>
          <w:p w14:paraId="1383FB63">
            <w:pPr>
              <w:spacing w:line="580" w:lineRule="exact"/>
              <w:jc w:val="center"/>
              <w:rPr>
                <w:rFonts w:ascii="仿宋" w:hAnsi="仿宋" w:eastAsia="仿宋"/>
                <w:bCs/>
                <w:sz w:val="24"/>
                <w:szCs w:val="24"/>
              </w:rPr>
            </w:pPr>
          </w:p>
        </w:tc>
        <w:tc>
          <w:tcPr>
            <w:tcW w:w="1688" w:type="dxa"/>
            <w:tcBorders>
              <w:top w:val="single" w:color="auto" w:sz="4" w:space="0"/>
              <w:left w:val="single" w:color="auto" w:sz="4" w:space="0"/>
              <w:bottom w:val="single" w:color="auto" w:sz="4" w:space="0"/>
              <w:right w:val="single" w:color="auto" w:sz="4" w:space="0"/>
            </w:tcBorders>
            <w:vAlign w:val="center"/>
          </w:tcPr>
          <w:p w14:paraId="52BF66E3">
            <w:pPr>
              <w:spacing w:line="580" w:lineRule="exact"/>
              <w:jc w:val="center"/>
              <w:rPr>
                <w:rFonts w:ascii="仿宋" w:hAnsi="仿宋" w:eastAsia="仿宋"/>
                <w:bCs/>
                <w:sz w:val="24"/>
                <w:szCs w:val="24"/>
              </w:rPr>
            </w:pPr>
          </w:p>
        </w:tc>
      </w:tr>
      <w:tr w14:paraId="3F07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033" w:type="dxa"/>
            <w:gridSpan w:val="5"/>
            <w:tcBorders>
              <w:top w:val="single" w:color="auto" w:sz="4" w:space="0"/>
              <w:left w:val="single" w:color="auto" w:sz="4" w:space="0"/>
              <w:bottom w:val="single" w:color="auto" w:sz="4" w:space="0"/>
              <w:right w:val="single" w:color="auto" w:sz="4" w:space="0"/>
            </w:tcBorders>
            <w:vAlign w:val="center"/>
          </w:tcPr>
          <w:p w14:paraId="3A86F391">
            <w:pPr>
              <w:spacing w:line="580" w:lineRule="exact"/>
              <w:jc w:val="center"/>
              <w:rPr>
                <w:rFonts w:ascii="仿宋" w:hAnsi="仿宋" w:eastAsia="仿宋"/>
                <w:bCs/>
                <w:sz w:val="24"/>
                <w:szCs w:val="24"/>
              </w:rPr>
            </w:pPr>
            <w:r>
              <w:rPr>
                <w:rFonts w:hint="eastAsia" w:ascii="仿宋" w:hAnsi="仿宋" w:eastAsia="仿宋"/>
                <w:bCs/>
                <w:sz w:val="24"/>
                <w:szCs w:val="24"/>
                <w:lang w:val="en-US" w:eastAsia="zh-CN"/>
              </w:rPr>
              <w:t xml:space="preserve"> </w:t>
            </w:r>
            <w:r>
              <w:rPr>
                <w:rFonts w:hint="eastAsia" w:ascii="仿宋" w:hAnsi="仿宋" w:eastAsia="仿宋"/>
                <w:bCs/>
                <w:sz w:val="24"/>
                <w:szCs w:val="24"/>
              </w:rPr>
              <w:t>承揽主要内容： 利用自有设备堆成成品仓</w:t>
            </w:r>
            <w:r>
              <w:rPr>
                <w:rFonts w:hint="eastAsia" w:ascii="仿宋" w:hAnsi="仿宋" w:eastAsia="仿宋"/>
                <w:bCs/>
                <w:sz w:val="24"/>
                <w:szCs w:val="24"/>
                <w:lang w:eastAsia="zh-CN"/>
              </w:rPr>
              <w:t>1-3</w:t>
            </w:r>
            <w:r>
              <w:rPr>
                <w:rFonts w:hint="eastAsia" w:ascii="仿宋" w:hAnsi="仿宋" w:eastAsia="仿宋"/>
                <w:bCs/>
                <w:sz w:val="24"/>
                <w:szCs w:val="24"/>
              </w:rPr>
              <w:t>石子进行筛分，筛分后含粉率≤0.5%，</w:t>
            </w:r>
          </w:p>
          <w:p w14:paraId="5D759FE1">
            <w:pPr>
              <w:spacing w:line="580" w:lineRule="exact"/>
              <w:jc w:val="center"/>
              <w:rPr>
                <w:rFonts w:ascii="仿宋" w:hAnsi="仿宋" w:eastAsia="仿宋"/>
                <w:bCs/>
                <w:sz w:val="24"/>
                <w:szCs w:val="24"/>
              </w:rPr>
            </w:pPr>
            <w:r>
              <w:rPr>
                <w:rFonts w:hint="eastAsia" w:ascii="仿宋" w:hAnsi="仿宋" w:eastAsia="仿宋"/>
                <w:bCs/>
                <w:sz w:val="24"/>
                <w:szCs w:val="24"/>
              </w:rPr>
              <w:t>筛分的实际结算量依销售加工量并经汽车衡计量的重量据实结算，承揽人承担整个加工筛分工序除电费之外所需人工费、设备费、材料消耗等全部费用。</w:t>
            </w:r>
          </w:p>
        </w:tc>
      </w:tr>
      <w:tr w14:paraId="1AB7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033" w:type="dxa"/>
            <w:gridSpan w:val="5"/>
            <w:tcBorders>
              <w:top w:val="single" w:color="auto" w:sz="4" w:space="0"/>
              <w:left w:val="single" w:color="auto" w:sz="4" w:space="0"/>
              <w:bottom w:val="single" w:color="auto" w:sz="4" w:space="0"/>
              <w:right w:val="single" w:color="auto" w:sz="4" w:space="0"/>
            </w:tcBorders>
            <w:vAlign w:val="center"/>
          </w:tcPr>
          <w:p w14:paraId="1138B809">
            <w:pPr>
              <w:spacing w:line="580" w:lineRule="exact"/>
              <w:jc w:val="center"/>
              <w:rPr>
                <w:rFonts w:ascii="仿宋" w:hAnsi="仿宋" w:eastAsia="仿宋"/>
                <w:bCs/>
                <w:sz w:val="24"/>
                <w:szCs w:val="24"/>
              </w:rPr>
            </w:pPr>
            <w:r>
              <w:rPr>
                <w:rFonts w:hint="eastAsia" w:ascii="仿宋" w:hAnsi="仿宋" w:eastAsia="仿宋"/>
                <w:bCs/>
                <w:sz w:val="24"/>
                <w:szCs w:val="24"/>
              </w:rPr>
              <w:t>合计人民币金额(大写)：   （含  %增值税￥  元 ）</w:t>
            </w:r>
          </w:p>
        </w:tc>
      </w:tr>
    </w:tbl>
    <w:p w14:paraId="3332B9A5">
      <w:pPr>
        <w:autoSpaceDE w:val="0"/>
        <w:autoSpaceDN w:val="0"/>
        <w:adjustRightInd w:val="0"/>
        <w:snapToGrid w:val="0"/>
        <w:ind w:left="393" w:hanging="393" w:hangingChars="163"/>
        <w:rPr>
          <w:rFonts w:hint="eastAsia" w:ascii="宋体" w:hAnsi="宋体" w:cs="仿宋"/>
          <w:b/>
          <w:kern w:val="0"/>
          <w:sz w:val="24"/>
          <w:szCs w:val="24"/>
        </w:rPr>
      </w:pPr>
    </w:p>
    <w:p w14:paraId="7A70E02C">
      <w:pPr>
        <w:pStyle w:val="6"/>
        <w:rPr>
          <w:rFonts w:hint="eastAsia" w:ascii="宋体" w:hAnsi="宋体" w:cs="仿宋"/>
          <w:b/>
          <w:kern w:val="0"/>
          <w:sz w:val="24"/>
          <w:szCs w:val="24"/>
        </w:rPr>
      </w:pPr>
    </w:p>
    <w:p w14:paraId="72E7632E">
      <w:pPr>
        <w:rPr>
          <w:rFonts w:hint="eastAsia" w:ascii="宋体" w:hAnsi="宋体" w:cs="仿宋"/>
          <w:b/>
          <w:kern w:val="0"/>
          <w:sz w:val="24"/>
          <w:szCs w:val="24"/>
        </w:rPr>
      </w:pPr>
    </w:p>
    <w:p w14:paraId="21B15B7F">
      <w:pPr>
        <w:pStyle w:val="6"/>
        <w:rPr>
          <w:rFonts w:hint="eastAsia" w:ascii="宋体" w:hAnsi="宋体" w:cs="仿宋"/>
          <w:b/>
          <w:kern w:val="0"/>
          <w:sz w:val="24"/>
          <w:szCs w:val="24"/>
        </w:rPr>
      </w:pPr>
    </w:p>
    <w:p w14:paraId="7B5701CC">
      <w:pPr>
        <w:rPr>
          <w:rFonts w:hint="eastAsia" w:ascii="宋体" w:hAnsi="宋体" w:cs="仿宋"/>
          <w:b/>
          <w:kern w:val="0"/>
          <w:sz w:val="24"/>
          <w:szCs w:val="24"/>
        </w:rPr>
      </w:pPr>
    </w:p>
    <w:p w14:paraId="4CDCC9E5">
      <w:pPr>
        <w:pStyle w:val="6"/>
        <w:rPr>
          <w:rFonts w:hint="eastAsia" w:ascii="宋体" w:hAnsi="宋体" w:cs="仿宋"/>
          <w:b/>
          <w:kern w:val="0"/>
          <w:sz w:val="24"/>
          <w:szCs w:val="24"/>
        </w:rPr>
      </w:pPr>
    </w:p>
    <w:p w14:paraId="6F58DB0B">
      <w:pPr>
        <w:rPr>
          <w:rFonts w:hint="eastAsia" w:ascii="宋体" w:hAnsi="宋体" w:cs="仿宋"/>
          <w:b/>
          <w:kern w:val="0"/>
          <w:sz w:val="24"/>
          <w:szCs w:val="24"/>
        </w:rPr>
      </w:pPr>
    </w:p>
    <w:p w14:paraId="2F09B02B">
      <w:pPr>
        <w:pStyle w:val="6"/>
        <w:rPr>
          <w:rFonts w:hint="eastAsia" w:ascii="宋体" w:hAnsi="宋体" w:cs="仿宋"/>
          <w:b/>
          <w:kern w:val="0"/>
          <w:sz w:val="24"/>
          <w:szCs w:val="24"/>
        </w:rPr>
      </w:pPr>
    </w:p>
    <w:p w14:paraId="0DC84FFB">
      <w:pPr>
        <w:autoSpaceDE w:val="0"/>
        <w:autoSpaceDN w:val="0"/>
        <w:adjustRightInd w:val="0"/>
        <w:snapToGrid w:val="0"/>
        <w:jc w:val="both"/>
      </w:pPr>
      <w:bookmarkStart w:id="205" w:name="_Toc508871759"/>
      <w:bookmarkStart w:id="206" w:name="_Toc352160855"/>
      <w:bookmarkStart w:id="207" w:name="_Toc391556619"/>
      <w:bookmarkStart w:id="208" w:name="_Toc506105880"/>
      <w:r>
        <w:rPr>
          <w:rFonts w:hint="eastAsia"/>
          <w:lang w:val="en-US" w:eastAsia="zh-CN"/>
        </w:rPr>
        <w:t>6</w:t>
      </w:r>
      <w:r>
        <w:rPr>
          <w:rFonts w:hint="eastAsia"/>
        </w:rPr>
        <w:t>、商务偏差表</w:t>
      </w:r>
      <w:bookmarkEnd w:id="205"/>
    </w:p>
    <w:p w14:paraId="575DA1E8">
      <w:pPr>
        <w:widowControl/>
        <w:spacing w:line="360" w:lineRule="auto"/>
        <w:jc w:val="center"/>
        <w:rPr>
          <w:rFonts w:ascii="宋体" w:hAnsi="宋体" w:cs="仿宋"/>
          <w:b/>
          <w:kern w:val="0"/>
          <w:sz w:val="24"/>
        </w:rPr>
      </w:pPr>
      <w:r>
        <w:rPr>
          <w:rFonts w:hint="eastAsia" w:ascii="宋体" w:hAnsi="宋体" w:cs="仿宋"/>
          <w:b/>
          <w:kern w:val="0"/>
          <w:sz w:val="24"/>
        </w:rPr>
        <w:t>商务偏差表</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1331"/>
        <w:gridCol w:w="992"/>
        <w:gridCol w:w="2551"/>
        <w:gridCol w:w="1985"/>
        <w:gridCol w:w="1417"/>
      </w:tblGrid>
      <w:tr w14:paraId="46A2F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restart"/>
            <w:tcBorders>
              <w:top w:val="single" w:color="000000" w:sz="4" w:space="0"/>
              <w:left w:val="single" w:color="000000" w:sz="4" w:space="0"/>
              <w:bottom w:val="single" w:color="000000" w:sz="4" w:space="0"/>
              <w:right w:val="single" w:color="000000" w:sz="4" w:space="0"/>
            </w:tcBorders>
            <w:noWrap w:val="0"/>
            <w:vAlign w:val="center"/>
          </w:tcPr>
          <w:p w14:paraId="3FE09BFF">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商务偏差</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47817D0A">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条目</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BE89EFE">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页码</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5C7B3EF5">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lang w:val="en-US" w:eastAsia="zh-CN"/>
              </w:rPr>
              <w:t>谈判</w:t>
            </w:r>
            <w:r>
              <w:rPr>
                <w:rFonts w:hint="eastAsia" w:ascii="仿宋" w:hAnsi="仿宋" w:eastAsia="仿宋" w:cs="仿宋"/>
                <w:position w:val="-9"/>
                <w:sz w:val="24"/>
              </w:rPr>
              <w:t>文件规定</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C6F03F1">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偏差</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04DB065">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备注</w:t>
            </w:r>
          </w:p>
        </w:tc>
      </w:tr>
      <w:tr w14:paraId="1873F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F42DA">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E74235C">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EC08B41">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1A2B6234">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BEC8EE3">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751AE2E">
            <w:pPr>
              <w:overflowPunct w:val="0"/>
              <w:topLinePunct/>
              <w:spacing w:line="360" w:lineRule="auto"/>
              <w:ind w:right="14"/>
              <w:jc w:val="center"/>
              <w:rPr>
                <w:rFonts w:ascii="仿宋" w:hAnsi="仿宋" w:eastAsia="仿宋" w:cs="仿宋"/>
                <w:position w:val="-9"/>
                <w:sz w:val="24"/>
              </w:rPr>
            </w:pPr>
          </w:p>
        </w:tc>
      </w:tr>
      <w:tr w14:paraId="1F9A2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ACB34">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197620E1">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95C92AA">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2ABC4B1B">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12EB45B">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9CB8741">
            <w:pPr>
              <w:overflowPunct w:val="0"/>
              <w:topLinePunct/>
              <w:spacing w:line="360" w:lineRule="auto"/>
              <w:ind w:right="14"/>
              <w:jc w:val="center"/>
              <w:rPr>
                <w:rFonts w:ascii="仿宋" w:hAnsi="仿宋" w:eastAsia="仿宋" w:cs="仿宋"/>
                <w:position w:val="-9"/>
                <w:sz w:val="24"/>
              </w:rPr>
            </w:pPr>
          </w:p>
        </w:tc>
      </w:tr>
      <w:tr w14:paraId="6E86C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574D5">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136762E">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744C9C7">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2260EC7E">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302C535">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B264797">
            <w:pPr>
              <w:overflowPunct w:val="0"/>
              <w:topLinePunct/>
              <w:spacing w:line="360" w:lineRule="auto"/>
              <w:ind w:right="14"/>
              <w:jc w:val="center"/>
              <w:rPr>
                <w:rFonts w:ascii="仿宋" w:hAnsi="仿宋" w:eastAsia="仿宋" w:cs="仿宋"/>
                <w:position w:val="-9"/>
                <w:sz w:val="24"/>
              </w:rPr>
            </w:pPr>
          </w:p>
        </w:tc>
      </w:tr>
      <w:tr w14:paraId="0DB4E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57F3C">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4EB6EAEE">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107F6BB">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5E14F20C">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E60EE08">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76D7C75A">
            <w:pPr>
              <w:overflowPunct w:val="0"/>
              <w:topLinePunct/>
              <w:spacing w:line="360" w:lineRule="auto"/>
              <w:ind w:right="14"/>
              <w:jc w:val="center"/>
              <w:rPr>
                <w:rFonts w:ascii="仿宋" w:hAnsi="仿宋" w:eastAsia="仿宋" w:cs="仿宋"/>
                <w:position w:val="-9"/>
                <w:sz w:val="24"/>
              </w:rPr>
            </w:pPr>
          </w:p>
        </w:tc>
      </w:tr>
      <w:tr w14:paraId="7AF16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E52BD">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8AD6D79">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4EE037E">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3E7F85E3">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E7B5D53">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F2A0943">
            <w:pPr>
              <w:overflowPunct w:val="0"/>
              <w:topLinePunct/>
              <w:spacing w:line="360" w:lineRule="auto"/>
              <w:ind w:right="14"/>
              <w:jc w:val="center"/>
              <w:rPr>
                <w:rFonts w:ascii="仿宋" w:hAnsi="仿宋" w:eastAsia="仿宋" w:cs="仿宋"/>
                <w:position w:val="-9"/>
                <w:sz w:val="24"/>
              </w:rPr>
            </w:pPr>
          </w:p>
        </w:tc>
      </w:tr>
    </w:tbl>
    <w:p w14:paraId="52904943">
      <w:pPr>
        <w:spacing w:line="360" w:lineRule="auto"/>
        <w:ind w:firstLine="160" w:firstLineChars="67"/>
        <w:rPr>
          <w:rFonts w:ascii="仿宋" w:hAnsi="仿宋" w:eastAsia="仿宋" w:cs="仿宋"/>
          <w:sz w:val="24"/>
        </w:rPr>
      </w:pPr>
      <w:r>
        <w:rPr>
          <w:rFonts w:hint="eastAsia" w:ascii="宋体" w:hAnsi="宋体" w:cs="仿宋"/>
          <w:sz w:val="24"/>
        </w:rPr>
        <w:t>注：若无商务偏差，本表可不填。</w:t>
      </w:r>
    </w:p>
    <w:p w14:paraId="38AF2C33">
      <w:pPr>
        <w:spacing w:line="360" w:lineRule="auto"/>
        <w:ind w:firstLine="4560" w:firstLineChars="1900"/>
        <w:rPr>
          <w:rFonts w:hint="eastAsia" w:ascii="宋体" w:hAnsi="宋体" w:eastAsia="宋体" w:cs="仿宋"/>
          <w:sz w:val="24"/>
        </w:rPr>
      </w:pPr>
      <w:r>
        <w:rPr>
          <w:rFonts w:hint="eastAsia" w:ascii="宋体" w:hAnsi="宋体" w:eastAsia="宋体" w:cs="仿宋"/>
          <w:sz w:val="24"/>
          <w:lang w:val="en-US" w:eastAsia="zh-CN"/>
        </w:rPr>
        <w:t>供应商</w:t>
      </w:r>
      <w:r>
        <w:rPr>
          <w:rFonts w:hint="eastAsia" w:ascii="宋体" w:hAnsi="宋体" w:eastAsia="宋体" w:cs="仿宋"/>
          <w:sz w:val="24"/>
        </w:rPr>
        <w:t>：（盖单位章）</w:t>
      </w:r>
    </w:p>
    <w:p w14:paraId="56CF0DBD">
      <w:pPr>
        <w:spacing w:line="360" w:lineRule="auto"/>
        <w:ind w:firstLine="4560" w:firstLineChars="1900"/>
        <w:rPr>
          <w:rFonts w:hint="eastAsia" w:ascii="宋体" w:hAnsi="宋体" w:eastAsia="宋体" w:cs="仿宋"/>
          <w:sz w:val="24"/>
        </w:rPr>
      </w:pPr>
      <w:r>
        <w:rPr>
          <w:rFonts w:hint="eastAsia" w:ascii="宋体" w:hAnsi="宋体" w:eastAsia="宋体" w:cs="仿宋"/>
          <w:sz w:val="24"/>
        </w:rPr>
        <w:t>法定代表人或其委托代理人：（签字）</w:t>
      </w:r>
    </w:p>
    <w:p w14:paraId="39EC0466">
      <w:pPr>
        <w:spacing w:line="360" w:lineRule="auto"/>
        <w:ind w:firstLine="4560" w:firstLineChars="1900"/>
        <w:rPr>
          <w:rFonts w:hint="eastAsia" w:ascii="宋体" w:hAnsi="宋体" w:eastAsia="宋体" w:cs="仿宋"/>
          <w:sz w:val="24"/>
        </w:rPr>
      </w:pPr>
      <w:r>
        <w:rPr>
          <w:rFonts w:hint="eastAsia" w:ascii="宋体" w:hAnsi="宋体" w:eastAsia="宋体" w:cs="仿宋"/>
          <w:sz w:val="24"/>
        </w:rPr>
        <w:t>年</w:t>
      </w:r>
      <w:r>
        <w:rPr>
          <w:rFonts w:hint="eastAsia" w:cs="仿宋"/>
          <w:sz w:val="24"/>
          <w:lang w:val="en-US" w:eastAsia="zh-CN"/>
        </w:rPr>
        <w:t xml:space="preserve">  </w:t>
      </w:r>
      <w:r>
        <w:rPr>
          <w:rFonts w:hint="eastAsia" w:ascii="宋体" w:hAnsi="宋体" w:eastAsia="宋体" w:cs="仿宋"/>
          <w:sz w:val="24"/>
        </w:rPr>
        <w:t>月</w:t>
      </w:r>
      <w:r>
        <w:rPr>
          <w:rFonts w:hint="eastAsia" w:cs="仿宋"/>
          <w:sz w:val="24"/>
          <w:lang w:val="en-US" w:eastAsia="zh-CN"/>
        </w:rPr>
        <w:t xml:space="preserve">   </w:t>
      </w:r>
      <w:r>
        <w:rPr>
          <w:rFonts w:hint="eastAsia" w:ascii="宋体" w:hAnsi="宋体" w:eastAsia="宋体" w:cs="仿宋"/>
          <w:sz w:val="24"/>
        </w:rPr>
        <w:t>日</w:t>
      </w:r>
    </w:p>
    <w:p w14:paraId="559477F3">
      <w:pPr>
        <w:pStyle w:val="32"/>
        <w:ind w:left="0" w:leftChars="0" w:firstLine="0" w:firstLineChars="0"/>
        <w:jc w:val="left"/>
        <w:rPr>
          <w:rFonts w:hint="eastAsia" w:ascii="宋体" w:hAnsi="宋体" w:eastAsia="宋体" w:cs="仿宋"/>
          <w:b w:val="0"/>
          <w:bCs w:val="0"/>
          <w:sz w:val="24"/>
          <w:szCs w:val="24"/>
          <w:lang w:val="en-US" w:eastAsia="zh-CN" w:bidi="ar-SA"/>
        </w:rPr>
      </w:pPr>
    </w:p>
    <w:p w14:paraId="0E6B3074">
      <w:pPr>
        <w:pStyle w:val="32"/>
        <w:ind w:left="0" w:leftChars="0" w:firstLine="0" w:firstLineChars="0"/>
        <w:jc w:val="left"/>
        <w:rPr>
          <w:rFonts w:hint="eastAsia" w:ascii="宋体" w:hAnsi="宋体" w:eastAsia="宋体" w:cs="仿宋"/>
          <w:b w:val="0"/>
          <w:bCs w:val="0"/>
          <w:sz w:val="24"/>
          <w:szCs w:val="24"/>
          <w:lang w:val="en-US" w:eastAsia="zh-CN" w:bidi="ar-SA"/>
        </w:rPr>
      </w:pPr>
    </w:p>
    <w:p w14:paraId="18AFC7CC">
      <w:pPr>
        <w:pStyle w:val="32"/>
        <w:ind w:left="0" w:leftChars="0" w:firstLine="0" w:firstLineChars="0"/>
        <w:jc w:val="left"/>
        <w:rPr>
          <w:rFonts w:hint="eastAsia" w:ascii="宋体" w:hAnsi="宋体" w:eastAsia="宋体" w:cs="仿宋"/>
          <w:b w:val="0"/>
          <w:bCs w:val="0"/>
          <w:sz w:val="24"/>
          <w:szCs w:val="24"/>
          <w:lang w:val="en-US" w:eastAsia="zh-CN" w:bidi="ar-SA"/>
        </w:rPr>
      </w:pPr>
    </w:p>
    <w:p w14:paraId="774819A6">
      <w:pPr>
        <w:pStyle w:val="32"/>
        <w:ind w:left="0" w:leftChars="0" w:firstLine="0" w:firstLineChars="0"/>
        <w:jc w:val="left"/>
        <w:rPr>
          <w:rFonts w:hint="eastAsia" w:ascii="宋体" w:hAnsi="宋体" w:eastAsia="宋体" w:cs="仿宋"/>
          <w:b w:val="0"/>
          <w:bCs w:val="0"/>
          <w:sz w:val="24"/>
          <w:szCs w:val="24"/>
          <w:lang w:val="en-US" w:eastAsia="zh-CN" w:bidi="ar-SA"/>
        </w:rPr>
      </w:pPr>
    </w:p>
    <w:p w14:paraId="2A0FF750">
      <w:pPr>
        <w:pStyle w:val="32"/>
        <w:ind w:left="0" w:leftChars="0" w:firstLine="0" w:firstLineChars="0"/>
        <w:jc w:val="left"/>
      </w:pPr>
      <w:r>
        <w:rPr>
          <w:rFonts w:hint="eastAsia" w:ascii="宋体" w:hAnsi="宋体" w:eastAsia="宋体" w:cs="仿宋"/>
          <w:b w:val="0"/>
          <w:bCs w:val="0"/>
          <w:sz w:val="24"/>
          <w:szCs w:val="24"/>
          <w:lang w:val="en-US" w:eastAsia="zh-CN" w:bidi="ar-SA"/>
        </w:rPr>
        <w:t>7、供应商认为应补充的其他商务资料</w:t>
      </w:r>
    </w:p>
    <w:p w14:paraId="1991F022">
      <w:pPr>
        <w:spacing w:line="360" w:lineRule="auto"/>
        <w:rPr>
          <w:rFonts w:ascii="仿宋" w:hAnsi="仿宋" w:eastAsia="仿宋" w:cs="仿宋"/>
          <w:sz w:val="24"/>
        </w:rPr>
      </w:pPr>
    </w:p>
    <w:p w14:paraId="0BF9F465">
      <w:pPr>
        <w:pStyle w:val="32"/>
        <w:jc w:val="center"/>
      </w:pPr>
    </w:p>
    <w:p w14:paraId="6684BFE2">
      <w:pPr>
        <w:pStyle w:val="30"/>
        <w:rPr>
          <w:rFonts w:hint="eastAsia"/>
        </w:rPr>
      </w:pPr>
      <w:bookmarkStart w:id="209" w:name="_Toc508871761"/>
      <w:bookmarkStart w:id="210" w:name="_Toc506105881"/>
      <w:bookmarkStart w:id="211" w:name="_Toc508871760"/>
    </w:p>
    <w:p w14:paraId="2F84587F">
      <w:pPr>
        <w:pStyle w:val="30"/>
        <w:rPr>
          <w:rFonts w:hint="eastAsia"/>
        </w:rPr>
      </w:pPr>
    </w:p>
    <w:p w14:paraId="2ACFE3EA">
      <w:pPr>
        <w:pStyle w:val="30"/>
        <w:rPr>
          <w:rFonts w:hint="eastAsia"/>
        </w:rPr>
      </w:pPr>
    </w:p>
    <w:p w14:paraId="2A42EF7E">
      <w:pPr>
        <w:pStyle w:val="30"/>
        <w:ind w:left="0" w:leftChars="0" w:firstLine="0" w:firstLineChars="0"/>
        <w:jc w:val="center"/>
        <w:rPr>
          <w:rFonts w:hint="eastAsia"/>
        </w:rPr>
      </w:pPr>
      <w:r>
        <w:rPr>
          <w:rFonts w:hint="eastAsia"/>
        </w:rPr>
        <w:br w:type="page"/>
      </w:r>
      <w:r>
        <w:rPr>
          <w:rFonts w:hint="eastAsia"/>
        </w:rPr>
        <w:t>第二部分  技术部分</w:t>
      </w:r>
      <w:bookmarkEnd w:id="209"/>
      <w:bookmarkEnd w:id="210"/>
    </w:p>
    <w:p w14:paraId="01AAFA08">
      <w:pPr>
        <w:pStyle w:val="32"/>
        <w:ind w:left="0" w:firstLine="0"/>
        <w:rPr>
          <w:rFonts w:hint="eastAsia" w:eastAsia="黑体"/>
          <w:lang w:eastAsia="zh-CN"/>
        </w:rPr>
      </w:pPr>
      <w:r>
        <w:rPr>
          <w:rFonts w:hint="eastAsia"/>
          <w:lang w:val="en-US" w:eastAsia="zh-CN"/>
        </w:rPr>
        <w:t>1、技术要求</w:t>
      </w:r>
    </w:p>
    <w:p w14:paraId="1304142D">
      <w:pPr>
        <w:keepNext w:val="0"/>
        <w:keepLines w:val="0"/>
        <w:pageBreakBefore w:val="0"/>
        <w:widowControl/>
        <w:numPr>
          <w:ilvl w:val="0"/>
          <w:numId w:val="4"/>
        </w:numPr>
        <w:kinsoku/>
        <w:wordWrap/>
        <w:overflowPunct/>
        <w:topLinePunct w:val="0"/>
        <w:autoSpaceDE/>
        <w:autoSpaceDN/>
        <w:bidi w:val="0"/>
        <w:adjustRightInd/>
        <w:snapToGrid/>
        <w:spacing w:line="500" w:lineRule="exact"/>
        <w:ind w:left="448" w:leftChars="0" w:firstLine="601" w:firstLineChars="0"/>
        <w:textAlignment w:val="auto"/>
        <w:rPr>
          <w:sz w:val="30"/>
          <w:szCs w:val="30"/>
        </w:rPr>
      </w:pPr>
      <w:bookmarkStart w:id="212" w:name="OLE_LINK1"/>
      <w:r>
        <w:rPr>
          <w:rFonts w:hint="eastAsia" w:ascii="仿宋" w:hAnsi="仿宋" w:eastAsia="仿宋"/>
          <w:bCs/>
          <w:sz w:val="30"/>
          <w:szCs w:val="30"/>
        </w:rPr>
        <w:t>承揽人具备筛分</w:t>
      </w:r>
      <w:r>
        <w:rPr>
          <w:rFonts w:hint="eastAsia" w:ascii="仿宋" w:hAnsi="仿宋" w:eastAsia="仿宋"/>
          <w:bCs/>
          <w:sz w:val="30"/>
          <w:szCs w:val="30"/>
          <w:lang w:eastAsia="zh-CN"/>
        </w:rPr>
        <w:t>1-3</w:t>
      </w:r>
      <w:r>
        <w:rPr>
          <w:rFonts w:hint="eastAsia" w:ascii="仿宋" w:hAnsi="仿宋" w:eastAsia="仿宋"/>
          <w:bCs/>
          <w:sz w:val="30"/>
          <w:szCs w:val="30"/>
        </w:rPr>
        <w:t>石子的设备并自行安装，生产人员能熟练操作设备并经安全培训有较强的安全意识。</w:t>
      </w:r>
    </w:p>
    <w:p w14:paraId="33F48611">
      <w:pPr>
        <w:pStyle w:val="12"/>
        <w:keepNext w:val="0"/>
        <w:keepLines w:val="0"/>
        <w:pageBreakBefore w:val="0"/>
        <w:numPr>
          <w:ilvl w:val="0"/>
          <w:numId w:val="4"/>
        </w:numPr>
        <w:kinsoku/>
        <w:wordWrap/>
        <w:overflowPunct/>
        <w:topLinePunct w:val="0"/>
        <w:autoSpaceDE/>
        <w:autoSpaceDN/>
        <w:bidi w:val="0"/>
        <w:adjustRightInd/>
        <w:snapToGrid/>
        <w:spacing w:line="500" w:lineRule="exact"/>
        <w:ind w:left="448" w:leftChars="0" w:firstLine="601" w:firstLineChars="0"/>
        <w:textAlignment w:val="auto"/>
        <w:rPr>
          <w:rFonts w:ascii="仿宋" w:hAnsi="仿宋" w:eastAsia="仿宋"/>
          <w:bCs/>
          <w:sz w:val="30"/>
          <w:szCs w:val="30"/>
        </w:rPr>
      </w:pPr>
      <w:r>
        <w:rPr>
          <w:rFonts w:hint="eastAsia" w:ascii="仿宋" w:hAnsi="仿宋" w:eastAsia="仿宋"/>
          <w:bCs/>
          <w:sz w:val="30"/>
          <w:szCs w:val="30"/>
        </w:rPr>
        <w:t>承揽人具备24小时连续生产的能力，每天产能不小于7000吨，确保不影响</w:t>
      </w:r>
      <w:r>
        <w:rPr>
          <w:rFonts w:hint="eastAsia" w:ascii="仿宋" w:hAnsi="仿宋" w:eastAsia="仿宋"/>
          <w:bCs/>
          <w:sz w:val="30"/>
          <w:szCs w:val="30"/>
          <w:lang w:eastAsia="zh-CN"/>
        </w:rPr>
        <w:t>定作</w:t>
      </w:r>
      <w:r>
        <w:rPr>
          <w:rFonts w:hint="eastAsia" w:ascii="仿宋" w:hAnsi="仿宋" w:eastAsia="仿宋"/>
          <w:bCs/>
          <w:sz w:val="30"/>
          <w:szCs w:val="30"/>
        </w:rPr>
        <w:t>人的销售需求。</w:t>
      </w:r>
    </w:p>
    <w:p w14:paraId="1591FF59">
      <w:pPr>
        <w:pStyle w:val="12"/>
        <w:keepNext w:val="0"/>
        <w:keepLines w:val="0"/>
        <w:pageBreakBefore w:val="0"/>
        <w:numPr>
          <w:ilvl w:val="0"/>
          <w:numId w:val="4"/>
        </w:numPr>
        <w:kinsoku/>
        <w:wordWrap/>
        <w:overflowPunct/>
        <w:topLinePunct w:val="0"/>
        <w:autoSpaceDE/>
        <w:autoSpaceDN/>
        <w:bidi w:val="0"/>
        <w:adjustRightInd/>
        <w:snapToGrid/>
        <w:spacing w:line="500" w:lineRule="exact"/>
        <w:ind w:left="448" w:leftChars="0" w:firstLine="601" w:firstLineChars="0"/>
        <w:textAlignment w:val="auto"/>
        <w:rPr>
          <w:rFonts w:ascii="仿宋" w:hAnsi="仿宋" w:eastAsia="仿宋"/>
          <w:bCs/>
          <w:sz w:val="30"/>
          <w:szCs w:val="30"/>
        </w:rPr>
      </w:pPr>
      <w:r>
        <w:rPr>
          <w:rFonts w:hint="eastAsia" w:ascii="仿宋" w:hAnsi="仿宋" w:eastAsia="仿宋"/>
          <w:bCs/>
          <w:sz w:val="30"/>
          <w:szCs w:val="30"/>
          <w:lang w:val="en-US" w:eastAsia="zh-CN"/>
        </w:rPr>
        <w:t>承揽人中标后三天内完成设备安装、调试，具备生产能力，因设备安装滞后给定作人造成的损失由承揽人承担。</w:t>
      </w:r>
    </w:p>
    <w:p w14:paraId="2C840314">
      <w:pPr>
        <w:pStyle w:val="12"/>
        <w:keepNext w:val="0"/>
        <w:keepLines w:val="0"/>
        <w:pageBreakBefore w:val="0"/>
        <w:numPr>
          <w:ilvl w:val="0"/>
          <w:numId w:val="4"/>
        </w:numPr>
        <w:kinsoku/>
        <w:wordWrap/>
        <w:overflowPunct/>
        <w:topLinePunct w:val="0"/>
        <w:autoSpaceDE/>
        <w:autoSpaceDN/>
        <w:bidi w:val="0"/>
        <w:adjustRightInd/>
        <w:snapToGrid/>
        <w:spacing w:line="500" w:lineRule="exact"/>
        <w:ind w:left="448" w:leftChars="0" w:firstLine="601" w:firstLineChars="0"/>
        <w:textAlignment w:val="auto"/>
        <w:rPr>
          <w:rFonts w:ascii="仿宋" w:hAnsi="仿宋" w:eastAsia="仿宋"/>
          <w:bCs/>
          <w:sz w:val="30"/>
          <w:szCs w:val="30"/>
        </w:rPr>
      </w:pPr>
      <w:r>
        <w:rPr>
          <w:rFonts w:hint="eastAsia" w:ascii="仿宋" w:hAnsi="仿宋" w:eastAsia="仿宋"/>
          <w:bCs/>
          <w:sz w:val="30"/>
          <w:szCs w:val="30"/>
        </w:rPr>
        <w:t>筛分后的产品含粉率不高于0.5%.</w:t>
      </w:r>
    </w:p>
    <w:p w14:paraId="485DA46C">
      <w:pPr>
        <w:pStyle w:val="12"/>
        <w:keepNext w:val="0"/>
        <w:keepLines w:val="0"/>
        <w:pageBreakBefore w:val="0"/>
        <w:numPr>
          <w:ilvl w:val="0"/>
          <w:numId w:val="4"/>
        </w:numPr>
        <w:kinsoku/>
        <w:wordWrap/>
        <w:overflowPunct/>
        <w:topLinePunct w:val="0"/>
        <w:autoSpaceDE/>
        <w:autoSpaceDN/>
        <w:bidi w:val="0"/>
        <w:adjustRightInd/>
        <w:snapToGrid/>
        <w:spacing w:line="500" w:lineRule="exact"/>
        <w:ind w:left="448" w:leftChars="0" w:firstLine="601" w:firstLineChars="0"/>
        <w:textAlignment w:val="auto"/>
        <w:rPr>
          <w:rFonts w:ascii="仿宋" w:hAnsi="仿宋" w:eastAsia="仿宋"/>
          <w:bCs/>
          <w:sz w:val="30"/>
          <w:szCs w:val="30"/>
        </w:rPr>
      </w:pPr>
      <w:r>
        <w:rPr>
          <w:rFonts w:hint="eastAsia" w:ascii="仿宋" w:hAnsi="仿宋" w:eastAsia="仿宋"/>
          <w:bCs/>
          <w:sz w:val="30"/>
          <w:szCs w:val="30"/>
        </w:rPr>
        <w:t>具备生态环境局规定的必要的喷林抑尘设备，生产环境密闭，不得扬尘。</w:t>
      </w:r>
    </w:p>
    <w:p w14:paraId="26EA428D">
      <w:pPr>
        <w:pStyle w:val="12"/>
        <w:keepNext w:val="0"/>
        <w:keepLines w:val="0"/>
        <w:pageBreakBefore w:val="0"/>
        <w:numPr>
          <w:ilvl w:val="0"/>
          <w:numId w:val="4"/>
        </w:numPr>
        <w:kinsoku/>
        <w:wordWrap/>
        <w:overflowPunct/>
        <w:topLinePunct w:val="0"/>
        <w:autoSpaceDE/>
        <w:autoSpaceDN/>
        <w:bidi w:val="0"/>
        <w:adjustRightInd/>
        <w:snapToGrid/>
        <w:spacing w:line="500" w:lineRule="exact"/>
        <w:ind w:left="448" w:leftChars="0" w:firstLine="601" w:firstLineChars="0"/>
        <w:textAlignment w:val="auto"/>
        <w:rPr>
          <w:rFonts w:ascii="仿宋" w:hAnsi="仿宋" w:eastAsia="仿宋"/>
          <w:bCs/>
          <w:sz w:val="30"/>
          <w:szCs w:val="30"/>
        </w:rPr>
      </w:pPr>
      <w:r>
        <w:rPr>
          <w:rFonts w:hint="eastAsia" w:ascii="仿宋" w:hAnsi="仿宋" w:eastAsia="仿宋"/>
          <w:bCs/>
          <w:sz w:val="30"/>
          <w:szCs w:val="30"/>
        </w:rPr>
        <w:t>负责待装车辆的引导工作，及时清理装车现场。</w:t>
      </w:r>
    </w:p>
    <w:bookmarkEnd w:id="212"/>
    <w:p w14:paraId="331D72CF">
      <w:pPr>
        <w:pStyle w:val="12"/>
        <w:keepNext w:val="0"/>
        <w:keepLines w:val="0"/>
        <w:pageBreakBefore w:val="0"/>
        <w:numPr>
          <w:ilvl w:val="0"/>
          <w:numId w:val="4"/>
        </w:numPr>
        <w:kinsoku/>
        <w:wordWrap/>
        <w:overflowPunct/>
        <w:topLinePunct w:val="0"/>
        <w:autoSpaceDE/>
        <w:autoSpaceDN/>
        <w:bidi w:val="0"/>
        <w:adjustRightInd/>
        <w:snapToGrid/>
        <w:spacing w:line="500" w:lineRule="exact"/>
        <w:ind w:left="448" w:leftChars="0" w:firstLine="601" w:firstLineChars="0"/>
        <w:textAlignment w:val="auto"/>
        <w:rPr>
          <w:rFonts w:ascii="仿宋" w:hAnsi="仿宋" w:eastAsia="仿宋"/>
          <w:bCs/>
          <w:sz w:val="30"/>
          <w:szCs w:val="30"/>
        </w:rPr>
      </w:pPr>
      <w:r>
        <w:rPr>
          <w:rFonts w:hint="eastAsia" w:ascii="仿宋" w:hAnsi="仿宋" w:eastAsia="仿宋"/>
          <w:bCs/>
          <w:sz w:val="30"/>
          <w:szCs w:val="30"/>
        </w:rPr>
        <w:t>当政府部门因环保因素等不可抗拒因素要求停止作业，或者定作方具备生产条件要求承揽方无条件停止生产，承揽方必须无条件退出。</w:t>
      </w:r>
    </w:p>
    <w:p w14:paraId="03B0C659">
      <w:pPr>
        <w:pStyle w:val="32"/>
        <w:ind w:left="0" w:firstLine="0"/>
      </w:pPr>
      <w:r>
        <w:rPr>
          <w:rFonts w:hint="eastAsia"/>
          <w:lang w:val="en-US" w:eastAsia="zh-CN"/>
        </w:rPr>
        <w:t>2、</w:t>
      </w:r>
      <w:r>
        <w:rPr>
          <w:rFonts w:hint="eastAsia"/>
        </w:rPr>
        <w:t>技术偏差表</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1331"/>
        <w:gridCol w:w="992"/>
        <w:gridCol w:w="2551"/>
        <w:gridCol w:w="1985"/>
        <w:gridCol w:w="1417"/>
      </w:tblGrid>
      <w:tr w14:paraId="6CE5B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restart"/>
            <w:tcBorders>
              <w:top w:val="single" w:color="000000" w:sz="4" w:space="0"/>
              <w:left w:val="single" w:color="000000" w:sz="4" w:space="0"/>
              <w:bottom w:val="single" w:color="000000" w:sz="4" w:space="0"/>
              <w:right w:val="single" w:color="000000" w:sz="4" w:space="0"/>
            </w:tcBorders>
            <w:noWrap w:val="0"/>
            <w:vAlign w:val="center"/>
          </w:tcPr>
          <w:p w14:paraId="5FA96C30">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技术偏差</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F33BFFD">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条目</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BB65E0E">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页码</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2379429D">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招标文件规定</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2833D0B">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偏差</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5EE3DEE">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备注</w:t>
            </w:r>
          </w:p>
        </w:tc>
      </w:tr>
      <w:tr w14:paraId="011C1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08AE6">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C19CEF2">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80A51AF">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5507E9B2">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7C7F68F">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876B15D">
            <w:pPr>
              <w:overflowPunct w:val="0"/>
              <w:topLinePunct/>
              <w:spacing w:line="360" w:lineRule="auto"/>
              <w:ind w:right="14"/>
              <w:jc w:val="center"/>
              <w:rPr>
                <w:rFonts w:ascii="仿宋" w:hAnsi="仿宋" w:eastAsia="仿宋" w:cs="仿宋"/>
                <w:position w:val="-9"/>
                <w:sz w:val="24"/>
              </w:rPr>
            </w:pPr>
          </w:p>
        </w:tc>
      </w:tr>
      <w:tr w14:paraId="35E65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35F26">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1D6F993">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FBF6B88">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5E59BCBF">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0D3FE32">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A0EDD7F">
            <w:pPr>
              <w:overflowPunct w:val="0"/>
              <w:topLinePunct/>
              <w:spacing w:line="360" w:lineRule="auto"/>
              <w:ind w:right="14"/>
              <w:jc w:val="center"/>
              <w:rPr>
                <w:rFonts w:ascii="仿宋" w:hAnsi="仿宋" w:eastAsia="仿宋" w:cs="仿宋"/>
                <w:position w:val="-9"/>
                <w:sz w:val="24"/>
              </w:rPr>
            </w:pPr>
          </w:p>
        </w:tc>
      </w:tr>
      <w:tr w14:paraId="43966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4262A">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4A8FBDC">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40929E5">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6299D5EB">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6082CE1">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340E4D1">
            <w:pPr>
              <w:overflowPunct w:val="0"/>
              <w:topLinePunct/>
              <w:spacing w:line="360" w:lineRule="auto"/>
              <w:ind w:right="14"/>
              <w:jc w:val="center"/>
              <w:rPr>
                <w:rFonts w:ascii="仿宋" w:hAnsi="仿宋" w:eastAsia="仿宋" w:cs="仿宋"/>
                <w:position w:val="-9"/>
                <w:sz w:val="24"/>
              </w:rPr>
            </w:pPr>
          </w:p>
        </w:tc>
      </w:tr>
      <w:tr w14:paraId="607D0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B1D99">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428ABA2">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0F54EA4">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2764B4F6">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2ED55CB">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6737DF7">
            <w:pPr>
              <w:overflowPunct w:val="0"/>
              <w:topLinePunct/>
              <w:spacing w:line="360" w:lineRule="auto"/>
              <w:ind w:right="14"/>
              <w:jc w:val="center"/>
              <w:rPr>
                <w:rFonts w:ascii="仿宋" w:hAnsi="仿宋" w:eastAsia="仿宋" w:cs="仿宋"/>
                <w:position w:val="-9"/>
                <w:sz w:val="24"/>
              </w:rPr>
            </w:pPr>
          </w:p>
        </w:tc>
      </w:tr>
      <w:tr w14:paraId="372CE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6B964">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BB05627">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1C45CC4">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548EC58A">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C887640">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0515332">
            <w:pPr>
              <w:overflowPunct w:val="0"/>
              <w:topLinePunct/>
              <w:spacing w:line="360" w:lineRule="auto"/>
              <w:ind w:right="14"/>
              <w:jc w:val="center"/>
              <w:rPr>
                <w:rFonts w:ascii="仿宋" w:hAnsi="仿宋" w:eastAsia="仿宋" w:cs="仿宋"/>
                <w:position w:val="-9"/>
                <w:sz w:val="24"/>
              </w:rPr>
            </w:pPr>
          </w:p>
        </w:tc>
      </w:tr>
    </w:tbl>
    <w:p w14:paraId="36749833">
      <w:pPr>
        <w:autoSpaceDE w:val="0"/>
        <w:autoSpaceDN w:val="0"/>
        <w:adjustRightInd w:val="0"/>
        <w:snapToGrid w:val="0"/>
        <w:spacing w:before="156" w:beforeLines="50" w:after="249" w:afterLines="80" w:line="360" w:lineRule="auto"/>
        <w:ind w:left="391" w:hanging="391" w:hangingChars="163"/>
        <w:rPr>
          <w:rFonts w:ascii="仿宋" w:hAnsi="仿宋" w:eastAsia="仿宋" w:cs="仿宋"/>
          <w:kern w:val="0"/>
        </w:rPr>
      </w:pPr>
      <w:r>
        <w:rPr>
          <w:rFonts w:hint="eastAsia" w:ascii="宋体" w:hAnsi="宋体" w:cs="仿宋"/>
          <w:sz w:val="24"/>
        </w:rPr>
        <w:t>注：若无技术偏差，本表可不填。</w:t>
      </w:r>
    </w:p>
    <w:p w14:paraId="1F2247D7">
      <w:pPr>
        <w:spacing w:line="360" w:lineRule="auto"/>
        <w:ind w:firstLine="4200" w:firstLineChars="1750"/>
        <w:rPr>
          <w:rFonts w:ascii="仿宋" w:hAnsi="仿宋" w:eastAsia="仿宋" w:cs="仿宋"/>
          <w:sz w:val="24"/>
        </w:rPr>
      </w:pPr>
      <w:r>
        <w:rPr>
          <w:rFonts w:hint="eastAsia" w:ascii="仿宋" w:hAnsi="仿宋" w:eastAsia="仿宋" w:cs="仿宋"/>
          <w:sz w:val="24"/>
        </w:rPr>
        <w:t>投 标 人：（盖单位章）</w:t>
      </w:r>
    </w:p>
    <w:p w14:paraId="13997180">
      <w:pPr>
        <w:spacing w:line="360" w:lineRule="auto"/>
        <w:ind w:firstLine="4200" w:firstLineChars="1750"/>
        <w:rPr>
          <w:rFonts w:ascii="仿宋" w:hAnsi="仿宋" w:eastAsia="仿宋" w:cs="仿宋"/>
          <w:sz w:val="24"/>
        </w:rPr>
      </w:pPr>
      <w:r>
        <w:rPr>
          <w:rFonts w:hint="eastAsia" w:ascii="仿宋" w:hAnsi="仿宋" w:eastAsia="仿宋" w:cs="仿宋"/>
          <w:sz w:val="24"/>
        </w:rPr>
        <w:t>法定代表人或其委托代理人：（签字）</w:t>
      </w:r>
    </w:p>
    <w:p w14:paraId="77FA8A42">
      <w:pPr>
        <w:spacing w:line="360" w:lineRule="auto"/>
        <w:ind w:firstLine="4200" w:firstLineChars="1750"/>
        <w:rPr>
          <w:rFonts w:hint="eastAsia" w:ascii="仿宋" w:hAnsi="仿宋" w:eastAsia="仿宋" w:cs="仿宋"/>
          <w:sz w:val="24"/>
        </w:rPr>
      </w:pPr>
      <w:r>
        <w:rPr>
          <w:rFonts w:hint="eastAsia" w:ascii="仿宋" w:hAnsi="仿宋" w:eastAsia="仿宋" w:cs="仿宋"/>
          <w:sz w:val="24"/>
        </w:rPr>
        <w:t>年　月　日</w:t>
      </w:r>
    </w:p>
    <w:p w14:paraId="5846059B">
      <w:pPr>
        <w:pStyle w:val="32"/>
        <w:jc w:val="center"/>
      </w:pPr>
    </w:p>
    <w:p w14:paraId="1568763B">
      <w:pPr>
        <w:pStyle w:val="32"/>
        <w:jc w:val="center"/>
      </w:pPr>
    </w:p>
    <w:p w14:paraId="61E0D6DA">
      <w:pPr>
        <w:pStyle w:val="4"/>
        <w:numPr>
          <w:ilvl w:val="0"/>
          <w:numId w:val="0"/>
        </w:numPr>
        <w:spacing w:before="0" w:after="0" w:line="300" w:lineRule="auto"/>
        <w:jc w:val="both"/>
        <w:rPr>
          <w:rFonts w:hint="eastAsia"/>
          <w:b/>
          <w:bCs/>
          <w:color w:val="000000"/>
          <w:lang w:val="en-US" w:eastAsia="zh-CN"/>
        </w:rPr>
      </w:pPr>
    </w:p>
    <w:p w14:paraId="309ADFED">
      <w:pPr>
        <w:pStyle w:val="4"/>
        <w:numPr>
          <w:ilvl w:val="0"/>
          <w:numId w:val="0"/>
        </w:numPr>
        <w:spacing w:before="0" w:after="0" w:line="300" w:lineRule="auto"/>
        <w:jc w:val="both"/>
        <w:rPr>
          <w:rFonts w:hint="eastAsia"/>
          <w:b/>
          <w:bCs/>
          <w:color w:val="000000"/>
        </w:rPr>
      </w:pPr>
      <w:r>
        <w:rPr>
          <w:rFonts w:hint="eastAsia" w:ascii="Arial" w:hAnsi="Arial" w:eastAsia="黑体" w:cs="Times New Roman"/>
          <w:b w:val="0"/>
          <w:bCs w:val="0"/>
          <w:sz w:val="24"/>
          <w:szCs w:val="28"/>
          <w:lang w:val="en-US" w:eastAsia="zh-CN" w:bidi="ar-SA"/>
        </w:rPr>
        <w:t>3、投标人认为应补充的其它技术资料</w:t>
      </w:r>
    </w:p>
    <w:bookmarkEnd w:id="206"/>
    <w:bookmarkEnd w:id="207"/>
    <w:bookmarkEnd w:id="208"/>
    <w:bookmarkEnd w:id="211"/>
    <w:p w14:paraId="1A721944"/>
    <w:p w14:paraId="19A8D493">
      <w:pPr>
        <w:pStyle w:val="29"/>
        <w:widowControl/>
        <w:spacing w:beforeLines="0" w:line="300" w:lineRule="auto"/>
        <w:ind w:left="1080"/>
        <w:rPr>
          <w:color w:val="000000"/>
        </w:rPr>
      </w:pPr>
    </w:p>
    <w:p w14:paraId="51952A33"/>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1A14EA-7F3F-408F-A8F8-8FA81CF6BB88}"/>
  </w:font>
  <w:font w:name="黑体">
    <w:panose1 w:val="02010609060101010101"/>
    <w:charset w:val="86"/>
    <w:family w:val="auto"/>
    <w:pitch w:val="default"/>
    <w:sig w:usb0="800002BF" w:usb1="38CF7CFA" w:usb2="00000016" w:usb3="00000000" w:csb0="00040001" w:csb1="00000000"/>
    <w:embedRegular r:id="rId2" w:fontKey="{B16DC7F1-D82E-4D2D-B5DF-CE0CC066BF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0BAF7EE-F8B3-4B1A-B72B-130F015CCAEF}"/>
  </w:font>
  <w:font w:name="方正小标宋简体">
    <w:panose1 w:val="03000509000000000000"/>
    <w:charset w:val="86"/>
    <w:family w:val="script"/>
    <w:pitch w:val="default"/>
    <w:sig w:usb0="00000001" w:usb1="080E0000" w:usb2="00000000" w:usb3="00000000" w:csb0="00040000" w:csb1="00000000"/>
    <w:embedRegular r:id="rId4" w:fontKey="{81EA7E1A-4BEB-4E10-9468-8D806AAC4654}"/>
  </w:font>
  <w:font w:name="仿宋">
    <w:panose1 w:val="02010609060101010101"/>
    <w:charset w:val="86"/>
    <w:family w:val="modern"/>
    <w:pitch w:val="default"/>
    <w:sig w:usb0="800002BF" w:usb1="38CF7CFA" w:usb2="00000016" w:usb3="00000000" w:csb0="00040001" w:csb1="00000000"/>
    <w:embedRegular r:id="rId5" w:fontKey="{8CDF469C-975D-4DF9-9627-542ED1A31A5D}"/>
  </w:font>
  <w:font w:name="仿宋_GB2312">
    <w:panose1 w:val="02010609030101010101"/>
    <w:charset w:val="86"/>
    <w:family w:val="modern"/>
    <w:pitch w:val="default"/>
    <w:sig w:usb0="00000001" w:usb1="080E0000" w:usb2="00000000" w:usb3="00000000" w:csb0="00040000" w:csb1="00000000"/>
    <w:embedRegular r:id="rId6" w:fontKey="{5008957B-C667-4499-BB6B-BB9CC0BDBD40}"/>
  </w:font>
  <w:font w:name="方正仿宋_GB2312">
    <w:panose1 w:val="02000000000000000000"/>
    <w:charset w:val="86"/>
    <w:family w:val="auto"/>
    <w:pitch w:val="default"/>
    <w:sig w:usb0="A00002BF" w:usb1="184F6CFA" w:usb2="00000012" w:usb3="00000000" w:csb0="00040001" w:csb1="00000000"/>
    <w:embedRegular r:id="rId7" w:fontKey="{A08F6F03-9CF2-4CC6-8B3D-76E9E8530CB1}"/>
  </w:font>
  <w:font w:name="MingLiU-ExtB">
    <w:panose1 w:val="02020500000000000000"/>
    <w:charset w:val="88"/>
    <w:family w:val="auto"/>
    <w:pitch w:val="default"/>
    <w:sig w:usb0="8000002F" w:usb1="02000008" w:usb2="00000000" w:usb3="00000000" w:csb0="00100001" w:csb1="00000000"/>
    <w:embedRegular r:id="rId8" w:fontKey="{34D0B5D8-441E-42E1-A528-1A256A3AE72D}"/>
  </w:font>
  <w:font w:name="方正楷体_GB2312">
    <w:panose1 w:val="02000000000000000000"/>
    <w:charset w:val="86"/>
    <w:family w:val="auto"/>
    <w:pitch w:val="default"/>
    <w:sig w:usb0="A00002BF" w:usb1="184F6CFA" w:usb2="00000012" w:usb3="00000000" w:csb0="00040001" w:csb1="00000000"/>
    <w:embedRegular r:id="rId9" w:fontKey="{817B46ED-13B9-4A45-AB07-C685411E11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B86D">
    <w:pPr>
      <w:pStyle w:val="10"/>
      <w:jc w:val="center"/>
    </w:pPr>
    <w:r>
      <w:fldChar w:fldCharType="begin"/>
    </w:r>
    <w:r>
      <w:rPr>
        <w:rStyle w:val="16"/>
      </w:rPr>
      <w:instrText xml:space="preserve"> PAGE </w:instrText>
    </w:r>
    <w:r>
      <w:fldChar w:fldCharType="separate"/>
    </w:r>
    <w:r>
      <w:rPr>
        <w:rStyle w:val="16"/>
      </w:rPr>
      <w:t>17</w:t>
    </w:r>
    <w:r>
      <w:fldChar w:fldCharType="end"/>
    </w:r>
  </w:p>
  <w:p w14:paraId="3707DD6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FD034">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44</w:t>
    </w:r>
    <w:r>
      <w:fldChar w:fldCharType="end"/>
    </w:r>
  </w:p>
  <w:p w14:paraId="6AAF7BC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AF20">
    <w:pPr>
      <w:pStyle w:val="10"/>
      <w:framePr w:wrap="around" w:vAnchor="text" w:hAnchor="margin" w:xAlign="center" w:y="1"/>
      <w:rPr>
        <w:rStyle w:val="16"/>
      </w:rPr>
    </w:pPr>
    <w:r>
      <w:fldChar w:fldCharType="begin"/>
    </w:r>
    <w:r>
      <w:rPr>
        <w:rStyle w:val="16"/>
      </w:rPr>
      <w:instrText xml:space="preserve">PAGE  </w:instrText>
    </w:r>
    <w:r>
      <w:fldChar w:fldCharType="end"/>
    </w:r>
  </w:p>
  <w:p w14:paraId="282812B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CB95C">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20</w:t>
    </w:r>
    <w:r>
      <w:fldChar w:fldCharType="end"/>
    </w:r>
  </w:p>
  <w:p w14:paraId="3B98C89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E33E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3B534"/>
    <w:multiLevelType w:val="singleLevel"/>
    <w:tmpl w:val="B973B534"/>
    <w:lvl w:ilvl="0" w:tentative="0">
      <w:start w:val="1"/>
      <w:numFmt w:val="decimal"/>
      <w:lvlText w:val="%1."/>
      <w:lvlJc w:val="left"/>
      <w:pPr>
        <w:tabs>
          <w:tab w:val="left" w:pos="312"/>
        </w:tabs>
      </w:pPr>
    </w:lvl>
  </w:abstractNum>
  <w:abstractNum w:abstractNumId="1">
    <w:nsid w:val="F40A16A1"/>
    <w:multiLevelType w:val="singleLevel"/>
    <w:tmpl w:val="F40A16A1"/>
    <w:lvl w:ilvl="0" w:tentative="0">
      <w:start w:val="1"/>
      <w:numFmt w:val="chineseCounting"/>
      <w:suff w:val="nothing"/>
      <w:lvlText w:val="%1、"/>
      <w:lvlJc w:val="left"/>
      <w:pPr>
        <w:ind w:left="450"/>
      </w:pPr>
      <w:rPr>
        <w:rFonts w:hint="eastAsia"/>
      </w:rPr>
    </w:lvl>
  </w:abstractNum>
  <w:abstractNum w:abstractNumId="2">
    <w:nsid w:val="38812F09"/>
    <w:multiLevelType w:val="singleLevel"/>
    <w:tmpl w:val="38812F09"/>
    <w:lvl w:ilvl="0" w:tentative="0">
      <w:start w:val="2"/>
      <w:numFmt w:val="decimal"/>
      <w:lvlText w:val="%1."/>
      <w:lvlJc w:val="left"/>
      <w:pPr>
        <w:tabs>
          <w:tab w:val="left" w:pos="312"/>
        </w:tabs>
      </w:pPr>
    </w:lvl>
  </w:abstractNum>
  <w:abstractNum w:abstractNumId="3">
    <w:nsid w:val="4DA0CC3D"/>
    <w:multiLevelType w:val="singleLevel"/>
    <w:tmpl w:val="4DA0CC3D"/>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OTJhYjM3ZDA4ODFhOGM0ODI2YzhjMTRkMDFhNjkifQ=="/>
  </w:docVars>
  <w:rsids>
    <w:rsidRoot w:val="1FCD2555"/>
    <w:rsid w:val="05D62E8D"/>
    <w:rsid w:val="0A492949"/>
    <w:rsid w:val="0ACE5DAA"/>
    <w:rsid w:val="0B465BC4"/>
    <w:rsid w:val="0B6C6DB0"/>
    <w:rsid w:val="0B9F74F0"/>
    <w:rsid w:val="0C0054E2"/>
    <w:rsid w:val="116C143C"/>
    <w:rsid w:val="148B0D47"/>
    <w:rsid w:val="14FA7B50"/>
    <w:rsid w:val="15271495"/>
    <w:rsid w:val="186662F2"/>
    <w:rsid w:val="1B3D71C1"/>
    <w:rsid w:val="1DC87335"/>
    <w:rsid w:val="1E2A4E59"/>
    <w:rsid w:val="1E9E5488"/>
    <w:rsid w:val="1F75506D"/>
    <w:rsid w:val="1FCD2555"/>
    <w:rsid w:val="21FE134A"/>
    <w:rsid w:val="245C67FB"/>
    <w:rsid w:val="24B94144"/>
    <w:rsid w:val="258A0093"/>
    <w:rsid w:val="2A7E46CB"/>
    <w:rsid w:val="2C4677AE"/>
    <w:rsid w:val="2CAF1CAB"/>
    <w:rsid w:val="2CCA2E9C"/>
    <w:rsid w:val="2E6F2DE9"/>
    <w:rsid w:val="2F171C9D"/>
    <w:rsid w:val="2FC040E2"/>
    <w:rsid w:val="35136161"/>
    <w:rsid w:val="37C967AB"/>
    <w:rsid w:val="38C52B98"/>
    <w:rsid w:val="39147804"/>
    <w:rsid w:val="3C4758CA"/>
    <w:rsid w:val="3DF9086C"/>
    <w:rsid w:val="3E2A4DBA"/>
    <w:rsid w:val="3E6D3687"/>
    <w:rsid w:val="3E8E302D"/>
    <w:rsid w:val="3FCF0375"/>
    <w:rsid w:val="429F69BC"/>
    <w:rsid w:val="43B864A9"/>
    <w:rsid w:val="4482069C"/>
    <w:rsid w:val="47BB39A1"/>
    <w:rsid w:val="4B3A55EB"/>
    <w:rsid w:val="4CD02D38"/>
    <w:rsid w:val="4D555A88"/>
    <w:rsid w:val="4D8C1650"/>
    <w:rsid w:val="4D911583"/>
    <w:rsid w:val="4F041DE6"/>
    <w:rsid w:val="4F1D4C56"/>
    <w:rsid w:val="4FD317B8"/>
    <w:rsid w:val="53F43417"/>
    <w:rsid w:val="5A5B7189"/>
    <w:rsid w:val="5ACA4A36"/>
    <w:rsid w:val="5EDE24E3"/>
    <w:rsid w:val="619E4563"/>
    <w:rsid w:val="62F47796"/>
    <w:rsid w:val="68ED6FEF"/>
    <w:rsid w:val="690E7ABB"/>
    <w:rsid w:val="6C613CD3"/>
    <w:rsid w:val="6D031B69"/>
    <w:rsid w:val="6E535B46"/>
    <w:rsid w:val="6F800DA5"/>
    <w:rsid w:val="719B1CDE"/>
    <w:rsid w:val="72D9462C"/>
    <w:rsid w:val="737A1DC7"/>
    <w:rsid w:val="74CF1C9F"/>
    <w:rsid w:val="74D63DAE"/>
    <w:rsid w:val="76573763"/>
    <w:rsid w:val="794034D0"/>
    <w:rsid w:val="7B6256FD"/>
    <w:rsid w:val="7C1F19E6"/>
    <w:rsid w:val="7F9C3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18"/>
    <w:qFormat/>
    <w:uiPriority w:val="99"/>
    <w:pPr>
      <w:keepNext/>
      <w:keepLines/>
      <w:spacing w:before="260" w:after="260" w:line="415" w:lineRule="auto"/>
      <w:outlineLvl w:val="1"/>
    </w:pPr>
    <w:rPr>
      <w:rFonts w:ascii="Arial" w:hAnsi="Arial" w:eastAsia="黑体" w:cs="Times New Roman"/>
      <w:b/>
      <w:bCs/>
      <w:kern w:val="0"/>
      <w:sz w:val="32"/>
      <w:szCs w:val="32"/>
    </w:rPr>
  </w:style>
  <w:style w:type="paragraph" w:styleId="4">
    <w:name w:val="heading 3"/>
    <w:basedOn w:val="1"/>
    <w:next w:val="1"/>
    <w:link w:val="19"/>
    <w:qFormat/>
    <w:uiPriority w:val="99"/>
    <w:pPr>
      <w:keepNext/>
      <w:keepLines/>
      <w:spacing w:before="260" w:after="260" w:line="415" w:lineRule="auto"/>
      <w:outlineLvl w:val="2"/>
    </w:pPr>
    <w:rPr>
      <w:rFonts w:ascii="Times New Roman" w:hAnsi="Times New Roman" w:eastAsia="宋体" w:cs="Times New Roman"/>
      <w:b/>
      <w:bCs/>
      <w:kern w:val="0"/>
      <w:sz w:val="32"/>
      <w:szCs w:val="32"/>
    </w:rPr>
  </w:style>
  <w:style w:type="paragraph" w:styleId="5">
    <w:name w:val="heading 4"/>
    <w:basedOn w:val="1"/>
    <w:next w:val="1"/>
    <w:link w:val="20"/>
    <w:qFormat/>
    <w:uiPriority w:val="99"/>
    <w:pPr>
      <w:keepNext/>
      <w:keepLines/>
      <w:spacing w:before="280" w:after="290" w:line="374" w:lineRule="auto"/>
      <w:outlineLvl w:val="3"/>
    </w:pPr>
    <w:rPr>
      <w:rFonts w:ascii="Arial" w:hAnsi="Arial" w:eastAsia="黑体" w:cs="Times New Roman"/>
      <w:b/>
      <w:bCs/>
      <w:kern w:val="0"/>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index 5"/>
    <w:basedOn w:val="1"/>
    <w:next w:val="1"/>
    <w:qFormat/>
    <w:uiPriority w:val="0"/>
    <w:pPr>
      <w:ind w:left="1680"/>
    </w:pPr>
  </w:style>
  <w:style w:type="paragraph" w:styleId="7">
    <w:name w:val="Body Text Indent"/>
    <w:basedOn w:val="1"/>
    <w:link w:val="21"/>
    <w:unhideWhenUsed/>
    <w:qFormat/>
    <w:uiPriority w:val="99"/>
    <w:pPr>
      <w:spacing w:after="120"/>
      <w:ind w:left="420" w:leftChars="200"/>
    </w:pPr>
  </w:style>
  <w:style w:type="paragraph" w:styleId="8">
    <w:name w:val="Plain Text"/>
    <w:basedOn w:val="1"/>
    <w:link w:val="23"/>
    <w:qFormat/>
    <w:uiPriority w:val="99"/>
    <w:rPr>
      <w:rFonts w:ascii="宋体" w:hAnsi="Courier New" w:eastAsia="宋体" w:cs="Times New Roman"/>
      <w:kern w:val="0"/>
      <w:sz w:val="20"/>
      <w:szCs w:val="20"/>
    </w:rPr>
  </w:style>
  <w:style w:type="paragraph" w:styleId="9">
    <w:name w:val="Body Text Indent 2"/>
    <w:basedOn w:val="1"/>
    <w:link w:val="24"/>
    <w:qFormat/>
    <w:uiPriority w:val="99"/>
    <w:pPr>
      <w:spacing w:after="120" w:line="480" w:lineRule="auto"/>
      <w:ind w:left="420" w:leftChars="200"/>
    </w:pPr>
    <w:rPr>
      <w:rFonts w:ascii="Times New Roman" w:hAnsi="Times New Roman" w:eastAsia="宋体" w:cs="Times New Roman"/>
      <w:kern w:val="0"/>
      <w:sz w:val="24"/>
      <w:szCs w:val="24"/>
    </w:rPr>
  </w:style>
  <w:style w:type="paragraph" w:styleId="10">
    <w:name w:val="footer"/>
    <w:basedOn w:val="1"/>
    <w:link w:val="25"/>
    <w:unhideWhenUsed/>
    <w:qFormat/>
    <w:uiPriority w:val="99"/>
    <w:pPr>
      <w:widowControl/>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link w:val="26"/>
    <w:unhideWhenUsed/>
    <w:qFormat/>
    <w:uiPriority w:val="99"/>
    <w:pPr>
      <w:widowControl/>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Body Text First Indent 2"/>
    <w:basedOn w:val="7"/>
    <w:link w:val="22"/>
    <w:qFormat/>
    <w:uiPriority w:val="99"/>
    <w:pPr>
      <w:ind w:firstLine="420" w:firstLineChars="200"/>
    </w:pPr>
    <w:rPr>
      <w:rFonts w:ascii="Times New Roman" w:hAnsi="Times New Roman" w:eastAsia="宋体" w:cs="Times New Roman"/>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rPr>
      <w:rFonts w:cs="Times New Roman" w:asciiTheme="minorHAnsi" w:hAnsiTheme="minorHAnsi" w:eastAsiaTheme="minorEastAsia"/>
    </w:rPr>
  </w:style>
  <w:style w:type="character" w:customStyle="1" w:styleId="17">
    <w:name w:val="标题 1 Char"/>
    <w:basedOn w:val="15"/>
    <w:link w:val="2"/>
    <w:qFormat/>
    <w:uiPriority w:val="99"/>
    <w:rPr>
      <w:rFonts w:ascii="Times New Roman" w:hAnsi="Times New Roman" w:eastAsia="宋体" w:cs="Times New Roman"/>
      <w:b/>
      <w:bCs/>
      <w:kern w:val="44"/>
      <w:sz w:val="44"/>
      <w:szCs w:val="44"/>
    </w:rPr>
  </w:style>
  <w:style w:type="character" w:customStyle="1" w:styleId="18">
    <w:name w:val="标题 2 Char"/>
    <w:basedOn w:val="15"/>
    <w:link w:val="3"/>
    <w:qFormat/>
    <w:uiPriority w:val="99"/>
    <w:rPr>
      <w:rFonts w:ascii="Arial" w:hAnsi="Arial" w:eastAsia="黑体" w:cs="Times New Roman"/>
      <w:b/>
      <w:bCs/>
      <w:kern w:val="0"/>
      <w:sz w:val="32"/>
      <w:szCs w:val="32"/>
    </w:rPr>
  </w:style>
  <w:style w:type="character" w:customStyle="1" w:styleId="19">
    <w:name w:val="标题 3 Char"/>
    <w:basedOn w:val="15"/>
    <w:link w:val="4"/>
    <w:qFormat/>
    <w:uiPriority w:val="99"/>
    <w:rPr>
      <w:rFonts w:ascii="Times New Roman" w:hAnsi="Times New Roman" w:eastAsia="宋体" w:cs="Times New Roman"/>
      <w:b/>
      <w:bCs/>
      <w:kern w:val="0"/>
      <w:sz w:val="32"/>
      <w:szCs w:val="32"/>
    </w:rPr>
  </w:style>
  <w:style w:type="character" w:customStyle="1" w:styleId="20">
    <w:name w:val="标题 4 Char"/>
    <w:basedOn w:val="15"/>
    <w:link w:val="5"/>
    <w:qFormat/>
    <w:uiPriority w:val="99"/>
    <w:rPr>
      <w:rFonts w:ascii="Arial" w:hAnsi="Arial" w:eastAsia="黑体" w:cs="Times New Roman"/>
      <w:b/>
      <w:bCs/>
      <w:kern w:val="0"/>
      <w:sz w:val="28"/>
      <w:szCs w:val="28"/>
    </w:rPr>
  </w:style>
  <w:style w:type="character" w:customStyle="1" w:styleId="21">
    <w:name w:val="正文文本缩进 Char"/>
    <w:basedOn w:val="15"/>
    <w:link w:val="7"/>
    <w:semiHidden/>
    <w:qFormat/>
    <w:uiPriority w:val="99"/>
    <w:rPr>
      <w:rFonts w:asciiTheme="minorHAnsi" w:hAnsiTheme="minorHAnsi" w:eastAsiaTheme="minorEastAsia" w:cstheme="minorBidi"/>
    </w:rPr>
  </w:style>
  <w:style w:type="character" w:customStyle="1" w:styleId="22">
    <w:name w:val="正文首行缩进 2 Char"/>
    <w:basedOn w:val="21"/>
    <w:link w:val="12"/>
    <w:qFormat/>
    <w:uiPriority w:val="99"/>
    <w:rPr>
      <w:rFonts w:ascii="Times New Roman" w:hAnsi="Times New Roman" w:eastAsia="宋体" w:cs="Times New Roman"/>
      <w:kern w:val="0"/>
      <w:sz w:val="24"/>
      <w:szCs w:val="24"/>
    </w:rPr>
  </w:style>
  <w:style w:type="character" w:customStyle="1" w:styleId="23">
    <w:name w:val="纯文本 Char"/>
    <w:basedOn w:val="15"/>
    <w:link w:val="8"/>
    <w:qFormat/>
    <w:uiPriority w:val="99"/>
    <w:rPr>
      <w:rFonts w:ascii="宋体" w:hAnsi="Courier New" w:eastAsia="宋体" w:cs="Times New Roman"/>
      <w:kern w:val="0"/>
      <w:sz w:val="20"/>
      <w:szCs w:val="20"/>
    </w:rPr>
  </w:style>
  <w:style w:type="character" w:customStyle="1" w:styleId="24">
    <w:name w:val="正文文本缩进 2 Char"/>
    <w:basedOn w:val="15"/>
    <w:link w:val="9"/>
    <w:qFormat/>
    <w:uiPriority w:val="99"/>
    <w:rPr>
      <w:rFonts w:ascii="Times New Roman" w:hAnsi="Times New Roman" w:eastAsia="宋体" w:cs="Times New Roman"/>
      <w:kern w:val="0"/>
      <w:sz w:val="24"/>
      <w:szCs w:val="24"/>
    </w:rPr>
  </w:style>
  <w:style w:type="character" w:customStyle="1" w:styleId="25">
    <w:name w:val="页脚 Char"/>
    <w:basedOn w:val="15"/>
    <w:link w:val="10"/>
    <w:qFormat/>
    <w:uiPriority w:val="99"/>
    <w:rPr>
      <w:rFonts w:ascii="Calibri" w:hAnsi="Calibri" w:eastAsia="宋体" w:cs="Times New Roman"/>
      <w:kern w:val="0"/>
      <w:sz w:val="18"/>
      <w:szCs w:val="18"/>
    </w:rPr>
  </w:style>
  <w:style w:type="character" w:customStyle="1" w:styleId="26">
    <w:name w:val="页眉 Char"/>
    <w:basedOn w:val="15"/>
    <w:link w:val="11"/>
    <w:qFormat/>
    <w:uiPriority w:val="99"/>
    <w:rPr>
      <w:rFonts w:ascii="Calibri" w:hAnsi="Calibri" w:eastAsia="宋体" w:cs="Times New Roman"/>
      <w:kern w:val="0"/>
      <w:sz w:val="18"/>
      <w:szCs w:val="18"/>
    </w:rPr>
  </w:style>
  <w:style w:type="paragraph" w:customStyle="1" w:styleId="27">
    <w:name w:val="p0"/>
    <w:basedOn w:val="1"/>
    <w:qFormat/>
    <w:uiPriority w:val="99"/>
    <w:pPr>
      <w:widowControl/>
    </w:pPr>
    <w:rPr>
      <w:rFonts w:ascii="Times New Roman" w:hAnsi="Times New Roman" w:eastAsia="宋体" w:cs="Times New Roman"/>
      <w:kern w:val="0"/>
      <w:szCs w:val="21"/>
    </w:rPr>
  </w:style>
  <w:style w:type="paragraph" w:customStyle="1" w:styleId="28">
    <w:name w:val="一级"/>
    <w:basedOn w:val="29"/>
    <w:qFormat/>
    <w:uiPriority w:val="0"/>
    <w:rPr>
      <w:b w:val="0"/>
      <w:sz w:val="32"/>
      <w:szCs w:val="32"/>
    </w:rPr>
  </w:style>
  <w:style w:type="paragraph" w:customStyle="1" w:styleId="29">
    <w:name w:val="样式2"/>
    <w:basedOn w:val="1"/>
    <w:qFormat/>
    <w:uiPriority w:val="0"/>
    <w:pPr>
      <w:spacing w:beforeLines="50" w:line="360" w:lineRule="auto"/>
      <w:jc w:val="center"/>
      <w:outlineLvl w:val="0"/>
    </w:pPr>
    <w:rPr>
      <w:rFonts w:ascii="Times New Roman" w:hAnsi="Times New Roman" w:eastAsia="黑体" w:cs="Times New Roman"/>
      <w:b/>
      <w:sz w:val="44"/>
      <w:szCs w:val="44"/>
    </w:rPr>
  </w:style>
  <w:style w:type="paragraph" w:customStyle="1" w:styleId="30">
    <w:name w:val="二级"/>
    <w:basedOn w:val="31"/>
    <w:qFormat/>
    <w:uiPriority w:val="0"/>
    <w:pPr>
      <w:tabs>
        <w:tab w:val="left" w:pos="851"/>
      </w:tabs>
      <w:jc w:val="center"/>
    </w:pPr>
    <w:rPr>
      <w:b w:val="0"/>
      <w:bCs w:val="0"/>
      <w:sz w:val="28"/>
    </w:rPr>
  </w:style>
  <w:style w:type="paragraph" w:customStyle="1" w:styleId="31">
    <w:name w:val="A标题4"/>
    <w:basedOn w:val="5"/>
    <w:next w:val="1"/>
    <w:qFormat/>
    <w:uiPriority w:val="0"/>
    <w:pPr>
      <w:keepNext w:val="0"/>
      <w:keepLines w:val="0"/>
      <w:tabs>
        <w:tab w:val="left" w:pos="851"/>
      </w:tabs>
      <w:spacing w:before="0" w:after="80" w:line="360" w:lineRule="auto"/>
      <w:ind w:left="851" w:hanging="851"/>
    </w:pPr>
    <w:rPr>
      <w:sz w:val="24"/>
    </w:rPr>
  </w:style>
  <w:style w:type="paragraph" w:customStyle="1" w:styleId="32">
    <w:name w:val="三级"/>
    <w:basedOn w:val="31"/>
    <w:qFormat/>
    <w:uiPriority w:val="0"/>
    <w:rPr>
      <w:b w:val="0"/>
      <w:bCs w:val="0"/>
    </w:rPr>
  </w:style>
  <w:style w:type="paragraph" w:customStyle="1" w:styleId="33">
    <w:name w:val="样式 标题 2 + Times New Roman 四号 非加粗 段前: 5 磅 段后: 0 磅 行距: 固定值 20..."/>
    <w:basedOn w:val="3"/>
    <w:qFormat/>
    <w:uiPriority w:val="99"/>
    <w:pPr>
      <w:spacing w:before="100" w:after="0" w:line="400" w:lineRule="exact"/>
    </w:pPr>
    <w:rPr>
      <w:rFonts w:ascii="Times New Roman" w:hAnsi="Times New Roman"/>
      <w:b w:val="0"/>
      <w:bCs w:val="0"/>
      <w:sz w:val="20"/>
      <w:szCs w:val="20"/>
    </w:rPr>
  </w:style>
  <w:style w:type="paragraph" w:customStyle="1" w:styleId="34">
    <w:name w:val="标题1 Char Char Char"/>
    <w:basedOn w:val="2"/>
    <w:qFormat/>
    <w:uiPriority w:val="0"/>
    <w:pPr>
      <w:tabs>
        <w:tab w:val="center" w:pos="4512"/>
        <w:tab w:val="center" w:pos="4606"/>
      </w:tabs>
      <w:adjustRightInd w:val="0"/>
      <w:snapToGrid w:val="0"/>
      <w:spacing w:beforeLines="50" w:after="240"/>
      <w:jc w:val="center"/>
      <w:outlineLvl w:val="1"/>
    </w:pPr>
    <w:rPr>
      <w:rFonts w:ascii="Calibri" w:hAnsi="Calibri"/>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9861</Words>
  <Characters>10944</Characters>
  <Lines>135</Lines>
  <Paragraphs>38</Paragraphs>
  <TotalTime>11</TotalTime>
  <ScaleCrop>false</ScaleCrop>
  <LinksUpToDate>false</LinksUpToDate>
  <CharactersWithSpaces>13492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2022-12-01T03:47:00Z</dcterms:created>
  <dc:creator>张洪震</dc:creator>
  <cp:lastModifiedBy>史美伟</cp:lastModifiedBy>
  <dcterms:modified xsi:type="dcterms:W3CDTF">2025-12-04T07:23:55Z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5C57193B39F146F0AAD41E0A7A81BA9C_13</vt:lpwstr>
  </property>
  <property fmtid="{D5CDD505-2E9C-101B-9397-08002B2CF9AE}" pid="4" name="KSOTemplateDocerSaveRecord">
    <vt:lpwstr>eyJoZGlkIjoiNWNkYWE1NTljZmU1ZDY3OWU4ZTNiZmRlMmNhMWQ2ZWMiLCJ1c2VySWQiOiI1MTUxNzA1ODQifQ==</vt:lpwstr>
  </property>
</Properties>
</file>